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20E" w:rsidRPr="00E43C41" w:rsidRDefault="0079520E" w:rsidP="006F6AA8">
      <w:pPr>
        <w:shd w:val="clear" w:color="auto" w:fill="FBFBF3"/>
        <w:spacing w:after="160"/>
        <w:ind w:left="480" w:hanging="480"/>
        <w:rPr>
          <w:color w:val="111111"/>
        </w:rPr>
      </w:pPr>
      <w:r w:rsidRPr="00E43C41">
        <w:rPr>
          <w:color w:val="111111"/>
        </w:rPr>
        <w:t>- </w:t>
      </w:r>
      <w:r w:rsidRPr="00E43C41">
        <w:rPr>
          <w:rStyle w:val="apple-converted-space"/>
          <w:color w:val="111111"/>
        </w:rPr>
        <w:t> </w:t>
      </w:r>
      <w:r w:rsidRPr="00E43C41">
        <w:rPr>
          <w:color w:val="111111"/>
        </w:rPr>
        <w:t>As ilustrações (quadros, tabelas e desenhos) deverão ter a qualidade necessária para uma boa reprodução gráfica (300dpi) sendo inseridas no texto e, também, os arquivos originais deverão ser enviados em arquivos separados do texto, no programa que foram criados (Excel, CorelDraw, PhotoShop etc). As ilustrações deverão, também, ser identificadas com o título e/ou legenda e citadas no texto, com a inicial em letra maiúscula, tais como Quadro 1, Quadro 2, Tabela 1, Tabela 2, Desenho 1, Desenho 2 etc.</w:t>
      </w:r>
      <w:r w:rsidRPr="00E43C41">
        <w:rPr>
          <w:rStyle w:val="apple-converted-space"/>
          <w:color w:val="111111"/>
        </w:rPr>
        <w:t> </w:t>
      </w:r>
      <w:r w:rsidRPr="00E43C41">
        <w:rPr>
          <w:color w:val="FF0000"/>
        </w:rPr>
        <w:t xml:space="preserve">Este(s) arquivo(s) deverá(ão) ser enviado(s) como Documento(s) </w:t>
      </w:r>
    </w:p>
    <w:p w:rsidR="00CA44CA" w:rsidRPr="00E43C41" w:rsidRDefault="00CA44CA" w:rsidP="00C115D0">
      <w:pPr>
        <w:pStyle w:val="Ttulo"/>
        <w:spacing w:line="360" w:lineRule="auto"/>
        <w:rPr>
          <w:rFonts w:ascii="Times New Roman" w:hAnsi="Times New Roman" w:cs="Times New Roman"/>
          <w:smallCaps/>
        </w:rPr>
      </w:pPr>
      <w:r w:rsidRPr="007D7CF8">
        <w:rPr>
          <w:rFonts w:ascii="Times New Roman" w:hAnsi="Times New Roman" w:cs="Times New Roman"/>
          <w:b w:val="0"/>
        </w:rPr>
        <w:br w:type="page"/>
      </w:r>
      <w:r w:rsidRPr="00E43C41">
        <w:rPr>
          <w:rFonts w:ascii="Times New Roman" w:hAnsi="Times New Roman" w:cs="Times New Roman"/>
          <w:smallCaps/>
        </w:rPr>
        <w:lastRenderedPageBreak/>
        <w:t>AUTOEFICÁCIA DE TÉCNICOS ESPORTIVOS: UM ESTUDO EXPLORATÓRIO</w:t>
      </w:r>
      <w:r w:rsidR="00BC53BD">
        <w:rPr>
          <w:rStyle w:val="Refdenotaderodap"/>
          <w:rFonts w:ascii="Times New Roman" w:hAnsi="Times New Roman" w:cs="Times New Roman"/>
          <w:smallCaps/>
        </w:rPr>
        <w:footnoteReference w:id="1"/>
      </w:r>
    </w:p>
    <w:p w:rsidR="00CA44CA" w:rsidRPr="00E43C41" w:rsidRDefault="00CA44CA" w:rsidP="00CA44CA">
      <w:pPr>
        <w:spacing w:line="360" w:lineRule="auto"/>
        <w:jc w:val="right"/>
        <w:rPr>
          <w:b/>
        </w:rPr>
      </w:pPr>
    </w:p>
    <w:p w:rsidR="00CA44CA" w:rsidRPr="00E43C41" w:rsidRDefault="00CA44CA" w:rsidP="00CA44CA">
      <w:pPr>
        <w:spacing w:line="360" w:lineRule="auto"/>
      </w:pPr>
      <w:r w:rsidRPr="00CA44CA">
        <w:rPr>
          <w:b/>
        </w:rPr>
        <w:t>R</w:t>
      </w:r>
      <w:r w:rsidR="00217FBB">
        <w:rPr>
          <w:b/>
        </w:rPr>
        <w:t xml:space="preserve">esumo: </w:t>
      </w:r>
      <w:r w:rsidRPr="00E43C41">
        <w:t xml:space="preserve">A qualidade do trabalho do técnico esportivo relaciona-se com o julgamento que o mesmo faz sobre sua própria capacidade para atuar, ou </w:t>
      </w:r>
      <w:r>
        <w:t>autoeficácia do técnico esportivo</w:t>
      </w:r>
      <w:r w:rsidRPr="00E43C41">
        <w:t xml:space="preserve">. Este estudo identificou a autoeficácia de técnicos esportivos. Trinta e seis técnicos esportivos participaram do estudo respondendo a um questionário de caracterização e à escala de </w:t>
      </w:r>
      <w:r>
        <w:t>autoeficácia do técnico esportivo</w:t>
      </w:r>
      <w:r w:rsidRPr="00E43C41">
        <w:t xml:space="preserve">. Os resultados revelaram escores elevados para a dimensão da eficácia para a formação do caráter dos atletas, além das dimensões ligadas à eficácia técnica para ensinar, eficácia para a estratégia de jogo e motivação. Esses resultados ainda que exploratórios, oferecem pistas para refletir sobre o papel da autoeficácia na preparação e atuação dos técnicos esportivos em diferentes contextos. </w:t>
      </w:r>
    </w:p>
    <w:p w:rsidR="00CA44CA" w:rsidRPr="00E43C41" w:rsidRDefault="00CA44CA" w:rsidP="00CA44CA">
      <w:pPr>
        <w:pStyle w:val="Corpodetexto"/>
        <w:spacing w:line="360" w:lineRule="auto"/>
        <w:jc w:val="both"/>
        <w:rPr>
          <w:rFonts w:ascii="Times New Roman" w:hAnsi="Times New Roman" w:cs="Times New Roman"/>
          <w:i w:val="0"/>
        </w:rPr>
      </w:pPr>
      <w:r w:rsidRPr="00E43C41">
        <w:rPr>
          <w:rFonts w:ascii="Times New Roman" w:hAnsi="Times New Roman" w:cs="Times New Roman"/>
          <w:i w:val="0"/>
        </w:rPr>
        <w:t>Palavras-chave: Autoeficácia, Técnico esportivo, Formação profissional.</w:t>
      </w:r>
    </w:p>
    <w:p w:rsidR="00CA44CA" w:rsidRPr="00E43C41" w:rsidRDefault="00CA44CA" w:rsidP="00CA44CA">
      <w:pPr>
        <w:spacing w:line="360" w:lineRule="auto"/>
      </w:pPr>
    </w:p>
    <w:p w:rsidR="00CA44CA" w:rsidRPr="00E43C41" w:rsidRDefault="00CA44CA" w:rsidP="00CA44CA">
      <w:pPr>
        <w:spacing w:line="360" w:lineRule="auto"/>
      </w:pPr>
    </w:p>
    <w:p w:rsidR="00CA44CA" w:rsidRPr="00E43C41" w:rsidRDefault="00CA44CA" w:rsidP="00CA44CA">
      <w:pPr>
        <w:jc w:val="center"/>
        <w:rPr>
          <w:b/>
          <w:lang w:val="en-US"/>
        </w:rPr>
      </w:pPr>
      <w:r w:rsidRPr="00E43C41">
        <w:rPr>
          <w:b/>
          <w:lang w:val="en-US"/>
        </w:rPr>
        <w:t>COACH SELF-EFFICACY: AN EXPLORATORY STUDY</w:t>
      </w:r>
    </w:p>
    <w:p w:rsidR="00CA44CA" w:rsidRPr="00E43C41" w:rsidRDefault="00CA44CA" w:rsidP="00CA44CA">
      <w:pPr>
        <w:jc w:val="center"/>
        <w:rPr>
          <w:b/>
          <w:lang w:val="en-US"/>
        </w:rPr>
      </w:pPr>
    </w:p>
    <w:p w:rsidR="00CA44CA" w:rsidRPr="00E43C41" w:rsidRDefault="00CA44CA" w:rsidP="00CA44CA">
      <w:pPr>
        <w:jc w:val="center"/>
        <w:rPr>
          <w:b/>
          <w:lang w:val="en-US"/>
        </w:rPr>
      </w:pPr>
    </w:p>
    <w:p w:rsidR="00CA44CA" w:rsidRPr="00E43C41" w:rsidRDefault="00217FBB" w:rsidP="00CA44CA">
      <w:pPr>
        <w:spacing w:line="360" w:lineRule="auto"/>
        <w:rPr>
          <w:lang w:val="en-US"/>
        </w:rPr>
      </w:pPr>
      <w:r>
        <w:rPr>
          <w:b/>
          <w:lang w:val="en-US"/>
        </w:rPr>
        <w:t xml:space="preserve">Abstract: </w:t>
      </w:r>
      <w:r w:rsidR="00CA44CA" w:rsidRPr="00E43C41">
        <w:rPr>
          <w:lang w:val="en-US"/>
        </w:rPr>
        <w:t xml:space="preserve">The quality of the work of sports coaches is related to the judgment that they do about their own ability to act, or </w:t>
      </w:r>
      <w:r>
        <w:rPr>
          <w:lang w:val="en-US"/>
        </w:rPr>
        <w:t xml:space="preserve">coach </w:t>
      </w:r>
      <w:r w:rsidR="00CA44CA" w:rsidRPr="00E43C41">
        <w:rPr>
          <w:lang w:val="en-US"/>
        </w:rPr>
        <w:t>self-efficacy</w:t>
      </w:r>
      <w:r>
        <w:rPr>
          <w:lang w:val="en-US"/>
        </w:rPr>
        <w:t>.</w:t>
      </w:r>
      <w:r w:rsidR="00CA44CA" w:rsidRPr="00E43C41">
        <w:rPr>
          <w:lang w:val="en-US"/>
        </w:rPr>
        <w:t xml:space="preserve"> This study identified </w:t>
      </w:r>
      <w:r>
        <w:rPr>
          <w:lang w:val="en-US"/>
        </w:rPr>
        <w:t>sport</w:t>
      </w:r>
      <w:r w:rsidR="00CA44CA" w:rsidRPr="00E43C41">
        <w:rPr>
          <w:lang w:val="en-US"/>
        </w:rPr>
        <w:t>s</w:t>
      </w:r>
      <w:r>
        <w:rPr>
          <w:lang w:val="en-US"/>
        </w:rPr>
        <w:t xml:space="preserve"> coaches’s</w:t>
      </w:r>
      <w:r w:rsidR="00CA44CA" w:rsidRPr="00E43C41">
        <w:rPr>
          <w:lang w:val="en-US"/>
        </w:rPr>
        <w:t>elf-efficacy</w:t>
      </w:r>
      <w:r>
        <w:rPr>
          <w:lang w:val="en-US"/>
        </w:rPr>
        <w:t>.</w:t>
      </w:r>
      <w:r w:rsidR="00CA44CA" w:rsidRPr="00E43C41">
        <w:rPr>
          <w:lang w:val="en-US"/>
        </w:rPr>
        <w:t xml:space="preserve"> Thirty-six coaches participated in the study by answering a questionnaire characterization, and a coach self-efficacy scale. The results revealed high scores for the dimension of effectiveness for the formation of the character of athletes beyond the dimensions related to effective technique to teach effectively to the game strategy and motivation. These exploratory results even offer clues to reflect on the role of self-efficacy in the preparation and performance of coaches in different </w:t>
      </w:r>
      <w:r>
        <w:rPr>
          <w:lang w:val="en-US"/>
        </w:rPr>
        <w:t xml:space="preserve">sports </w:t>
      </w:r>
      <w:r w:rsidR="00CA44CA" w:rsidRPr="00E43C41">
        <w:rPr>
          <w:lang w:val="en-US"/>
        </w:rPr>
        <w:t>contexts.</w:t>
      </w:r>
    </w:p>
    <w:p w:rsidR="00CA44CA" w:rsidRPr="00E43C41" w:rsidRDefault="00CA44CA" w:rsidP="00CA44CA">
      <w:pPr>
        <w:spacing w:line="360" w:lineRule="auto"/>
        <w:rPr>
          <w:lang w:val="en-US"/>
        </w:rPr>
      </w:pPr>
    </w:p>
    <w:p w:rsidR="00CA44CA" w:rsidRPr="00E43C41" w:rsidRDefault="00CA44CA" w:rsidP="00CA44CA">
      <w:pPr>
        <w:spacing w:line="360" w:lineRule="auto"/>
        <w:rPr>
          <w:lang w:val="en-US"/>
        </w:rPr>
      </w:pPr>
      <w:r w:rsidRPr="00E43C41">
        <w:rPr>
          <w:lang w:val="en-US"/>
        </w:rPr>
        <w:t>Keywords: Self-Efficacy, Coach, Professional Preparation.</w:t>
      </w:r>
    </w:p>
    <w:p w:rsidR="00CA44CA" w:rsidRPr="00CA44CA" w:rsidRDefault="00CA44CA">
      <w:pPr>
        <w:spacing w:after="200" w:line="276" w:lineRule="auto"/>
        <w:rPr>
          <w:b/>
          <w:bCs/>
          <w:smallCaps/>
          <w:lang w:val="en-US"/>
        </w:rPr>
      </w:pPr>
    </w:p>
    <w:p w:rsidR="0079520E" w:rsidRPr="00CA44CA" w:rsidRDefault="0079520E" w:rsidP="0079520E">
      <w:pPr>
        <w:pStyle w:val="Ttulo"/>
        <w:spacing w:line="360" w:lineRule="auto"/>
        <w:rPr>
          <w:rFonts w:ascii="Times New Roman" w:hAnsi="Times New Roman" w:cs="Times New Roman"/>
          <w:smallCaps/>
          <w:lang w:val="en-US"/>
        </w:rPr>
      </w:pPr>
    </w:p>
    <w:p w:rsidR="0079520E" w:rsidRPr="006F6AA8" w:rsidRDefault="0079520E" w:rsidP="0079520E">
      <w:pPr>
        <w:tabs>
          <w:tab w:val="center" w:pos="4252"/>
          <w:tab w:val="left" w:pos="6630"/>
        </w:tabs>
        <w:spacing w:line="360" w:lineRule="auto"/>
        <w:outlineLvl w:val="0"/>
        <w:rPr>
          <w:b/>
          <w:smallCaps/>
        </w:rPr>
      </w:pPr>
      <w:r w:rsidRPr="006F6AA8">
        <w:rPr>
          <w:b/>
          <w:smallCaps/>
        </w:rPr>
        <w:t>INTRODUÇÃO</w:t>
      </w:r>
    </w:p>
    <w:p w:rsidR="0079520E" w:rsidRPr="00E43C41" w:rsidRDefault="0079520E" w:rsidP="0079520E">
      <w:pPr>
        <w:spacing w:line="360" w:lineRule="auto"/>
        <w:ind w:left="709"/>
      </w:pPr>
    </w:p>
    <w:p w:rsidR="006D0268" w:rsidRPr="00E43C41" w:rsidRDefault="00557B50" w:rsidP="008741DA">
      <w:pPr>
        <w:spacing w:line="360" w:lineRule="auto"/>
        <w:ind w:firstLine="709"/>
      </w:pPr>
      <w:r w:rsidRPr="00E43C41">
        <w:t>A formação do técnico esportivo no cenário brasileiro compreende um conjunto de exigências e de expectativas de diferentes naturezas. Se por um lado temos as diretrizes oficiais vindas do Conselho Nacional de Educação</w:t>
      </w:r>
      <w:r w:rsidR="00211DC1" w:rsidRPr="00E43C41">
        <w:t xml:space="preserve"> – CNE, pela</w:t>
      </w:r>
      <w:r w:rsidRPr="00E43C41">
        <w:t xml:space="preserve"> Resolução CNE/CES 7/2004, por outro temos </w:t>
      </w:r>
      <w:r w:rsidR="006A57F7" w:rsidRPr="00E43C41">
        <w:t>àquelas vindas do Conselho Federal de Educação Física</w:t>
      </w:r>
      <w:r w:rsidR="00211DC1" w:rsidRPr="00E43C41">
        <w:t xml:space="preserve"> – CONFEF, via</w:t>
      </w:r>
      <w:r w:rsidR="006A57F7" w:rsidRPr="00E43C41">
        <w:t xml:space="preserve"> Resolução </w:t>
      </w:r>
      <w:r w:rsidR="008C47C0" w:rsidRPr="00E43C41">
        <w:t>CONFEF 046</w:t>
      </w:r>
      <w:r w:rsidR="006A57F7" w:rsidRPr="00E43C41">
        <w:t>/2002</w:t>
      </w:r>
      <w:r w:rsidR="00211DC1" w:rsidRPr="00E43C41">
        <w:t xml:space="preserve"> (BRASIL, 2004; CONFEF, 2002).</w:t>
      </w:r>
      <w:r w:rsidR="006A57F7" w:rsidRPr="00E43C41">
        <w:t xml:space="preserve"> É necessário considerar, ainda, os programas de formação inicial e continuada com suas respectivas propostas, </w:t>
      </w:r>
      <w:r w:rsidR="00A43BAB" w:rsidRPr="00E43C41">
        <w:t>considerando também, as expectativas dos estudantes e profissionais em formação</w:t>
      </w:r>
      <w:r w:rsidR="00211DC1" w:rsidRPr="00E43C41">
        <w:t>.</w:t>
      </w:r>
      <w:r w:rsidR="006D0268" w:rsidRPr="00E43C41">
        <w:t xml:space="preserve"> </w:t>
      </w:r>
    </w:p>
    <w:p w:rsidR="00671C07" w:rsidRPr="00E43C41" w:rsidRDefault="006D0268" w:rsidP="008741DA">
      <w:pPr>
        <w:spacing w:line="360" w:lineRule="auto"/>
        <w:ind w:firstLine="709"/>
      </w:pPr>
      <w:r w:rsidRPr="00E43C41">
        <w:t xml:space="preserve">A Resolução CNE/CES 7/2004, ao </w:t>
      </w:r>
      <w:r w:rsidR="00FF14EF" w:rsidRPr="00E43C41">
        <w:t>instituir</w:t>
      </w:r>
      <w:r w:rsidRPr="00E43C41">
        <w:t xml:space="preserve"> as diretrizes</w:t>
      </w:r>
      <w:r w:rsidR="00FF14EF" w:rsidRPr="00E43C41">
        <w:t xml:space="preserve"> curriculares para a graduação (formação inicial) em Educação Física apoia-se em princípios que vão além da formação apenas técnica. </w:t>
      </w:r>
      <w:r w:rsidR="007C0107" w:rsidRPr="00E43C41">
        <w:t>No documento, existe claramente a indicação de que</w:t>
      </w:r>
      <w:r w:rsidR="00211DC1" w:rsidRPr="00E43C41">
        <w:t xml:space="preserve"> a formação inicial</w:t>
      </w:r>
      <w:r w:rsidR="007C0107" w:rsidRPr="00E43C41">
        <w:t xml:space="preserve"> da </w:t>
      </w:r>
      <w:r w:rsidR="00211DC1" w:rsidRPr="00E43C41">
        <w:t>profissão</w:t>
      </w:r>
      <w:r w:rsidR="007C0107" w:rsidRPr="00E43C41">
        <w:t xml:space="preserve"> deverá pautar-se</w:t>
      </w:r>
      <w:r w:rsidR="00211DC1" w:rsidRPr="00E43C41">
        <w:t>, entre outros princípios, em ações críticas e investigativas, indissociabilidade teoria e prática, articulação ampliada e específica, considerando também a ética pessoal e profissional (BRASIL, 2004).</w:t>
      </w:r>
    </w:p>
    <w:p w:rsidR="00557B50" w:rsidRPr="00E43C41" w:rsidRDefault="00211DC1" w:rsidP="008741DA">
      <w:pPr>
        <w:spacing w:line="360" w:lineRule="auto"/>
        <w:ind w:firstLine="709"/>
      </w:pPr>
      <w:r w:rsidRPr="00E43C41">
        <w:t xml:space="preserve">No âmbito </w:t>
      </w:r>
      <w:r w:rsidR="008C47C0" w:rsidRPr="00E43C41">
        <w:t>federal</w:t>
      </w:r>
      <w:r w:rsidRPr="00E43C41">
        <w:t xml:space="preserve">, o </w:t>
      </w:r>
      <w:r w:rsidR="008C47C0" w:rsidRPr="00E43C41">
        <w:t xml:space="preserve">conselho profissional dispôs pela Resolução CONFEF 046/2002 orientações para a intervenção profissional no esporte. Pautando-se nas orientações da Resolução CNE/CES 7/2004, o técnico esportivo deverá, segundo o CONFEF, possuir conhecimentos, habilidades e competências para intervir na medida em que </w:t>
      </w:r>
      <w:r w:rsidR="00671C07" w:rsidRPr="00E43C41">
        <w:t xml:space="preserve">atuará desde o diagnóstico, passando pelo planejamento, execução, avaliação e supervisão no campo esportivo. O que significa dizer que a atuação desse profissional abarca ações desde as fases iniciais de aprendizagem esportiva até o mais alto nível de desenvolvimento nas áreas formal e informal (CONFEF, 2002). Em síntese, </w:t>
      </w:r>
      <w:r w:rsidR="007E10FD">
        <w:t>ambas as</w:t>
      </w:r>
      <w:r w:rsidR="00671C07" w:rsidRPr="00E43C41">
        <w:t xml:space="preserve"> diretrizes apoiam-se na premissa de que a formação inicial é que deverá desenvolver competências para a atuação do técnico esportivo. Embora isso não se</w:t>
      </w:r>
      <w:r w:rsidR="007E10FD">
        <w:t>ja</w:t>
      </w:r>
      <w:r w:rsidR="00671C07" w:rsidRPr="00E43C41">
        <w:t xml:space="preserve"> objeto de investigação no presente estudo, questionamos: e os conhecimentos e experiências que</w:t>
      </w:r>
      <w:r w:rsidR="0094443E" w:rsidRPr="00E43C41">
        <w:t xml:space="preserve"> esse profissional pode ter adquirido ao longo de sua jornada como, por exemplo, ex-atleta? E mais, partindo do pressuposto que os cursos de graduação desenvolveu essas competências, isso é suficiente para o técnico se perceba capaz para aplicá-las na atuação nos mais diversos contextos?</w:t>
      </w:r>
      <w:r w:rsidR="00671C07" w:rsidRPr="00E43C41">
        <w:t xml:space="preserve"> </w:t>
      </w:r>
    </w:p>
    <w:p w:rsidR="0079520E" w:rsidRPr="00E43C41" w:rsidRDefault="0079520E" w:rsidP="008741DA">
      <w:pPr>
        <w:spacing w:line="360" w:lineRule="auto"/>
        <w:ind w:firstLine="709"/>
      </w:pPr>
      <w:r w:rsidRPr="00E43C41">
        <w:t>No esporte, muitos fatores influenciam o desenvolvimento das habilidades dos atletas, o rendimento e o resultado das competições. No treinamento, por exemplo, são vários os componentes que integram esse processo. Dentre eles podemos citar a iniciação esportiva, o tipo de treinamento recebido, o papel da família, a mídia e, tão importante quanto esses fatores</w:t>
      </w:r>
      <w:r w:rsidR="0094443E" w:rsidRPr="00E43C41">
        <w:t>,</w:t>
      </w:r>
      <w:r w:rsidRPr="00E43C41">
        <w:t xml:space="preserve"> está o papel do técnico esportivo. </w:t>
      </w:r>
    </w:p>
    <w:p w:rsidR="0079520E" w:rsidRPr="00E43C41" w:rsidRDefault="0079520E" w:rsidP="008741DA">
      <w:pPr>
        <w:spacing w:line="360" w:lineRule="auto"/>
      </w:pPr>
      <w:r w:rsidRPr="00E43C41">
        <w:t>Em muitos casos, é o técnico quem planeja, executa e avalia todo o processo de aprendizagem e treinamento das habilidades e capacidades motoras que compõem determinada modalidade esportiva. É por meio dessa atuação que os atletas podem manter</w:t>
      </w:r>
      <w:r w:rsidR="007E10FD">
        <w:t>-se</w:t>
      </w:r>
      <w:r w:rsidRPr="00E43C41">
        <w:t xml:space="preserve"> engajados e de certa forma motivados para buscar resultados satisfatórios. Lobo (2005)</w:t>
      </w:r>
      <w:r w:rsidR="0094443E" w:rsidRPr="00E43C41">
        <w:t xml:space="preserve"> </w:t>
      </w:r>
      <w:r w:rsidRPr="00E43C41">
        <w:t>afirma que o treinador é um agente socializador, uma vez que exerce influência direta nas atitudes e ações dos atletas nos aspectos ligados ao esporte</w:t>
      </w:r>
      <w:r w:rsidR="0094443E" w:rsidRPr="00E43C41">
        <w:t>,</w:t>
      </w:r>
      <w:r w:rsidRPr="00E43C41">
        <w:t xml:space="preserve"> como em outros contextos da vida.</w:t>
      </w:r>
    </w:p>
    <w:p w:rsidR="0079520E" w:rsidRPr="00E43C41" w:rsidRDefault="0079520E" w:rsidP="008741DA">
      <w:pPr>
        <w:spacing w:line="360" w:lineRule="auto"/>
        <w:ind w:firstLine="709"/>
      </w:pPr>
      <w:r w:rsidRPr="00E43C41">
        <w:t xml:space="preserve">Justamente por exercer influência no desenvolvimento dos atletas é que a qualidade do trabalho exercido pelo técnico torna-se de suma importância nesse processo. O técnico deve possuir capacidades de </w:t>
      </w:r>
      <w:r w:rsidR="0094443E" w:rsidRPr="00E43C41">
        <w:t>diferentes naturezas</w:t>
      </w:r>
      <w:r w:rsidRPr="00E43C41">
        <w:t xml:space="preserve"> que o permita agir no planejamento e execução dos aspectos específicos da modalidade em que atua, bem como capacidades de ordem pessoal que favoreçam sua atuação em outras dimensões como o gerenciamento de pessoas.</w:t>
      </w:r>
      <w:r w:rsidR="0094443E" w:rsidRPr="00E43C41">
        <w:t xml:space="preserve"> </w:t>
      </w:r>
      <w:r w:rsidRPr="00E43C41">
        <w:t xml:space="preserve">Nessa direção, é necessário realçar que a atuação do técnico passa, dentre outros aspectos, pela </w:t>
      </w:r>
      <w:r w:rsidR="0094443E" w:rsidRPr="00E43C41">
        <w:t xml:space="preserve">própria </w:t>
      </w:r>
      <w:r w:rsidRPr="00E43C41">
        <w:t>percepção que tem de sua</w:t>
      </w:r>
      <w:r w:rsidR="0094443E" w:rsidRPr="00E43C41">
        <w:t xml:space="preserve"> </w:t>
      </w:r>
      <w:r w:rsidRPr="00E43C41">
        <w:t xml:space="preserve">capacidade para gerenciar as diferentes tarefas que essa profissão exige. Essa percepção de competência está relacionada com as crenças pessoais que esse </w:t>
      </w:r>
      <w:r w:rsidR="0094443E" w:rsidRPr="00E43C41">
        <w:t>profissional possui para intervir de maneira segura e eficiente com vistas a obter os resultados esperados.</w:t>
      </w:r>
      <w:r w:rsidRPr="00E43C41">
        <w:t xml:space="preserve"> Essas crenças de capacidade</w:t>
      </w:r>
      <w:r w:rsidR="008B64BF">
        <w:t>,</w:t>
      </w:r>
      <w:r w:rsidR="00925101">
        <w:t xml:space="preserve"> ou autoeficácia</w:t>
      </w:r>
      <w:r w:rsidR="008B64BF">
        <w:t>,</w:t>
      </w:r>
      <w:r w:rsidRPr="00E43C41">
        <w:t xml:space="preserve"> </w:t>
      </w:r>
      <w:r w:rsidR="00941C22">
        <w:t>são de</w:t>
      </w:r>
      <w:r w:rsidRPr="00E43C41">
        <w:t xml:space="preserve"> domínio </w:t>
      </w:r>
      <w:r w:rsidR="00941C22">
        <w:t>específico que, no presente estudo, dizem respeito à atuação</w:t>
      </w:r>
      <w:r w:rsidR="00925101">
        <w:t xml:space="preserve"> do</w:t>
      </w:r>
      <w:r w:rsidRPr="00E43C41">
        <w:t xml:space="preserve"> técnico esportivo.</w:t>
      </w:r>
    </w:p>
    <w:p w:rsidR="0079520E" w:rsidRPr="00E43C41" w:rsidRDefault="0079520E" w:rsidP="008741DA">
      <w:pPr>
        <w:spacing w:line="360" w:lineRule="auto"/>
        <w:ind w:firstLine="709"/>
      </w:pPr>
      <w:r w:rsidRPr="00E43C41">
        <w:t xml:space="preserve">A autoeficácia é </w:t>
      </w:r>
      <w:r w:rsidR="00925101">
        <w:t xml:space="preserve">um dos mecanismos </w:t>
      </w:r>
      <w:r w:rsidR="006A1759">
        <w:t>centrais da</w:t>
      </w:r>
      <w:r w:rsidRPr="00E43C41">
        <w:t xml:space="preserve"> teoria social cognitiva</w:t>
      </w:r>
      <w:r w:rsidR="006A1759">
        <w:t xml:space="preserve"> (TSC)</w:t>
      </w:r>
      <w:r w:rsidRPr="00E43C41">
        <w:t xml:space="preserve"> proposta por Albert Bandura em meados da década de </w:t>
      </w:r>
      <w:r w:rsidR="00925101">
        <w:t>19</w:t>
      </w:r>
      <w:r w:rsidRPr="00E43C41">
        <w:t>80</w:t>
      </w:r>
      <w:r w:rsidR="006A1759">
        <w:t>. A TSC</w:t>
      </w:r>
      <w:r w:rsidRPr="00E43C41">
        <w:t xml:space="preserve"> abarca um conjunto de constructos teóricos para explicar o comportamento humano</w:t>
      </w:r>
      <w:r w:rsidR="006A1759">
        <w:t>, como por exemplo, a modelação e a autorregulação</w:t>
      </w:r>
      <w:r w:rsidRPr="00E43C41">
        <w:t>. Segundo essa teoria</w:t>
      </w:r>
      <w:r w:rsidR="00D61B64" w:rsidRPr="00E43C41">
        <w:t>,</w:t>
      </w:r>
      <w:r w:rsidRPr="00E43C41">
        <w:t xml:space="preserve"> a ação humana deriva da interação recíproca entre três classes principais de determinantes: o comportamento, os fatores pessoais internos, sob a forma de eventos </w:t>
      </w:r>
      <w:r w:rsidR="00D61B64" w:rsidRPr="00E43C41">
        <w:t xml:space="preserve">afetivos, biológicos e </w:t>
      </w:r>
      <w:r w:rsidRPr="00E43C41">
        <w:t>cognitivos</w:t>
      </w:r>
      <w:r w:rsidR="00D61B64" w:rsidRPr="00E43C41">
        <w:t xml:space="preserve"> (como as autocrenças, por exemplo)</w:t>
      </w:r>
      <w:r w:rsidRPr="00E43C41">
        <w:t xml:space="preserve">, e </w:t>
      </w:r>
      <w:r w:rsidR="00D61B64" w:rsidRPr="00E43C41">
        <w:t xml:space="preserve">o </w:t>
      </w:r>
      <w:r w:rsidRPr="00E43C41">
        <w:t xml:space="preserve">ambiente externo. </w:t>
      </w:r>
      <w:r w:rsidR="00D61B64" w:rsidRPr="00E43C41">
        <w:t>A autoeficácia</w:t>
      </w:r>
      <w:r w:rsidR="005F2A01">
        <w:t>,</w:t>
      </w:r>
      <w:r w:rsidR="00D61B64" w:rsidRPr="00E43C41">
        <w:t xml:space="preserve"> sendo uma autocrença</w:t>
      </w:r>
      <w:r w:rsidR="005F2A01">
        <w:t>, refere-se</w:t>
      </w:r>
      <w:r w:rsidR="00D61B64" w:rsidRPr="00E43C41">
        <w:t xml:space="preserve"> ao </w:t>
      </w:r>
      <w:r w:rsidR="005F2A01">
        <w:t>“</w:t>
      </w:r>
      <w:r w:rsidR="00D61B64" w:rsidRPr="00E43C41">
        <w:t xml:space="preserve">julgamento </w:t>
      </w:r>
      <w:r w:rsidRPr="00E43C41">
        <w:t xml:space="preserve">que o indivíduo </w:t>
      </w:r>
      <w:r w:rsidR="00D61B64" w:rsidRPr="00E43C41">
        <w:t xml:space="preserve">realiza sobre as próprias capacidades </w:t>
      </w:r>
      <w:r w:rsidRPr="00E43C41">
        <w:t xml:space="preserve">para organizar e executar cursos de ação requeridos para alcançar determinadas realizações” (BANDURA, 1997, p.3). </w:t>
      </w:r>
      <w:r w:rsidR="00E3342E">
        <w:t>Em outras palavras, são julgamentos que as pessoas fazem sobre a própria capacidade para agir numa dada direção num domínio específico. No presente estudo, o domínio específico é o exercício da função de técnico esportivo.</w:t>
      </w:r>
    </w:p>
    <w:p w:rsidR="0079520E" w:rsidRPr="00B50DEB" w:rsidRDefault="0079520E" w:rsidP="008741DA">
      <w:pPr>
        <w:spacing w:line="360" w:lineRule="auto"/>
        <w:ind w:firstLine="709"/>
        <w:rPr>
          <w:i/>
        </w:rPr>
      </w:pPr>
      <w:r w:rsidRPr="00E43C41">
        <w:t>A autoeficácia exerce uma função reguladora sobre o comportamento do indivíduo, colaborando para a qualidade do funcionamento psicossocia</w:t>
      </w:r>
      <w:r w:rsidR="00D61B64" w:rsidRPr="00E43C41">
        <w:t xml:space="preserve">l. </w:t>
      </w:r>
      <w:r w:rsidRPr="00E43C41">
        <w:t>Ela atua como um componente mediador em várias circunstâncias</w:t>
      </w:r>
      <w:r w:rsidR="00D61B64" w:rsidRPr="00E43C41">
        <w:t xml:space="preserve">, tanto </w:t>
      </w:r>
      <w:r w:rsidRPr="00E43C41">
        <w:t>em situações de escolha, nas cognições a respeito de si mesmo e nas reações emocionais, quando são necessários esforço e persistência,</w:t>
      </w:r>
      <w:r w:rsidR="00D61B64" w:rsidRPr="00E43C41">
        <w:t xml:space="preserve"> como</w:t>
      </w:r>
      <w:r w:rsidRPr="00E43C41">
        <w:t xml:space="preserve"> na produção do comportamento (BANDURA, 1997). Num contexto mais amplo, a</w:t>
      </w:r>
      <w:r w:rsidR="00E3342E">
        <w:t xml:space="preserve"> </w:t>
      </w:r>
      <w:r w:rsidRPr="00E43C41">
        <w:t xml:space="preserve">autoeficácia influencia vários aspectos do comportamento humano, como por exemplo, </w:t>
      </w:r>
      <w:r w:rsidR="00E3342E">
        <w:t xml:space="preserve">a maneira como as pessoas pensam, isto é, de forma otimista ou não, </w:t>
      </w:r>
      <w:r w:rsidRPr="00E43C41">
        <w:t xml:space="preserve">quais </w:t>
      </w:r>
      <w:r w:rsidR="00E3342E">
        <w:t>comportamentos realizar</w:t>
      </w:r>
      <w:r w:rsidRPr="00E43C41">
        <w:t>, quais as metas que estabelecem para si mesmas</w:t>
      </w:r>
      <w:r w:rsidR="00E3342E">
        <w:t>, bem como o nível de comprometimento e persistência.</w:t>
      </w:r>
      <w:r w:rsidRPr="00E43C41">
        <w:t xml:space="preserve"> </w:t>
      </w:r>
      <w:r w:rsidR="00E3342E">
        <w:t>Influencia, ainda, a qu</w:t>
      </w:r>
      <w:r w:rsidRPr="00E43C41">
        <w:t>antidade de esforço desprendido</w:t>
      </w:r>
      <w:r w:rsidR="00E3342E">
        <w:t>,</w:t>
      </w:r>
      <w:r w:rsidRPr="00E43C41">
        <w:t xml:space="preserve"> assim como a quantidade de tempo que elas persistem em face aos obstáculos e experiências de fracasso (AZZI</w:t>
      </w:r>
      <w:r w:rsidR="00D61B64" w:rsidRPr="00E43C41">
        <w:t xml:space="preserve">, </w:t>
      </w:r>
      <w:r w:rsidRPr="00E43C41">
        <w:t>POLYDORO, 2006).</w:t>
      </w:r>
    </w:p>
    <w:p w:rsidR="0079520E" w:rsidRPr="00B50DEB" w:rsidRDefault="0079520E" w:rsidP="008741DA">
      <w:pPr>
        <w:pStyle w:val="Corpodetexto"/>
        <w:spacing w:line="360" w:lineRule="auto"/>
        <w:ind w:firstLine="709"/>
        <w:jc w:val="both"/>
        <w:rPr>
          <w:rFonts w:ascii="Times New Roman" w:hAnsi="Times New Roman" w:cs="Times New Roman"/>
        </w:rPr>
      </w:pPr>
      <w:r w:rsidRPr="00B50DEB">
        <w:rPr>
          <w:rFonts w:ascii="Times New Roman" w:hAnsi="Times New Roman" w:cs="Times New Roman"/>
          <w:i w:val="0"/>
        </w:rPr>
        <w:t xml:space="preserve">A autoeficácia é construída a partir da interpretação de informações obtidas em quatro fontes, sendo elas: experiências diretas, experiências vicariantes </w:t>
      </w:r>
      <w:r w:rsidR="00E3342E">
        <w:rPr>
          <w:rFonts w:ascii="Times New Roman" w:hAnsi="Times New Roman" w:cs="Times New Roman"/>
          <w:i w:val="0"/>
        </w:rPr>
        <w:t>– observação de modelos</w:t>
      </w:r>
      <w:r w:rsidRPr="00B50DEB">
        <w:rPr>
          <w:rFonts w:ascii="Times New Roman" w:hAnsi="Times New Roman" w:cs="Times New Roman"/>
          <w:i w:val="0"/>
        </w:rPr>
        <w:t xml:space="preserve">; persuasão </w:t>
      </w:r>
      <w:r w:rsidR="00E3342E">
        <w:rPr>
          <w:rFonts w:ascii="Times New Roman" w:hAnsi="Times New Roman" w:cs="Times New Roman"/>
          <w:i w:val="0"/>
        </w:rPr>
        <w:t>verbal</w:t>
      </w:r>
      <w:r w:rsidRPr="00B50DEB">
        <w:rPr>
          <w:rFonts w:ascii="Times New Roman" w:hAnsi="Times New Roman" w:cs="Times New Roman"/>
          <w:i w:val="0"/>
        </w:rPr>
        <w:t xml:space="preserve"> e</w:t>
      </w:r>
      <w:r w:rsidR="005F2A01">
        <w:rPr>
          <w:rFonts w:ascii="Times New Roman" w:hAnsi="Times New Roman" w:cs="Times New Roman"/>
          <w:i w:val="0"/>
        </w:rPr>
        <w:t>,</w:t>
      </w:r>
      <w:r w:rsidRPr="00B50DEB">
        <w:rPr>
          <w:rFonts w:ascii="Times New Roman" w:hAnsi="Times New Roman" w:cs="Times New Roman"/>
          <w:i w:val="0"/>
        </w:rPr>
        <w:t xml:space="preserve"> por fim</w:t>
      </w:r>
      <w:r w:rsidR="005F2A01">
        <w:rPr>
          <w:rFonts w:ascii="Times New Roman" w:hAnsi="Times New Roman" w:cs="Times New Roman"/>
          <w:i w:val="0"/>
        </w:rPr>
        <w:t>,</w:t>
      </w:r>
      <w:r w:rsidRPr="00B50DEB">
        <w:rPr>
          <w:rFonts w:ascii="Times New Roman" w:hAnsi="Times New Roman" w:cs="Times New Roman"/>
          <w:i w:val="0"/>
        </w:rPr>
        <w:t xml:space="preserve"> estados fisiológicos</w:t>
      </w:r>
      <w:r w:rsidR="005F2A01">
        <w:rPr>
          <w:rFonts w:ascii="Times New Roman" w:hAnsi="Times New Roman" w:cs="Times New Roman"/>
          <w:i w:val="0"/>
        </w:rPr>
        <w:t xml:space="preserve"> e afetivos</w:t>
      </w:r>
      <w:r w:rsidRPr="00B50DEB">
        <w:rPr>
          <w:rFonts w:ascii="Times New Roman" w:hAnsi="Times New Roman" w:cs="Times New Roman"/>
          <w:i w:val="0"/>
        </w:rPr>
        <w:t>. É a partir dessas informações (em conjunto ou isoladamente) que as pessoas julgam suas competências para um domínio específico</w:t>
      </w:r>
      <w:r w:rsidR="0006750F" w:rsidRPr="00B50DEB">
        <w:rPr>
          <w:rFonts w:ascii="Times New Roman" w:hAnsi="Times New Roman" w:cs="Times New Roman"/>
          <w:i w:val="0"/>
        </w:rPr>
        <w:t xml:space="preserve"> (BANDURA, 1997)</w:t>
      </w:r>
      <w:r w:rsidRPr="00B50DEB">
        <w:rPr>
          <w:rFonts w:ascii="Times New Roman" w:hAnsi="Times New Roman" w:cs="Times New Roman"/>
          <w:i w:val="0"/>
        </w:rPr>
        <w:t>.</w:t>
      </w:r>
      <w:r w:rsidR="005F2A01">
        <w:rPr>
          <w:rFonts w:ascii="Times New Roman" w:hAnsi="Times New Roman" w:cs="Times New Roman"/>
          <w:i w:val="0"/>
        </w:rPr>
        <w:t xml:space="preserve"> </w:t>
      </w:r>
      <w:r w:rsidRPr="00B50DEB">
        <w:rPr>
          <w:rFonts w:ascii="Times New Roman" w:hAnsi="Times New Roman" w:cs="Times New Roman"/>
          <w:i w:val="0"/>
        </w:rPr>
        <w:t xml:space="preserve">Experiências diretas referem-se aos êxitos e fracassos, produzidos pelo desempenho do indivíduo. É dessa experiência que deriva a principal fonte de informação para que o indivíduo julgue a </w:t>
      </w:r>
      <w:r w:rsidR="005F2A01">
        <w:rPr>
          <w:rFonts w:ascii="Times New Roman" w:hAnsi="Times New Roman" w:cs="Times New Roman"/>
          <w:i w:val="0"/>
        </w:rPr>
        <w:t>própria capacidade para agir.</w:t>
      </w:r>
      <w:r w:rsidR="00E43C41" w:rsidRPr="00B50DEB">
        <w:rPr>
          <w:rFonts w:ascii="Times New Roman" w:hAnsi="Times New Roman" w:cs="Times New Roman"/>
          <w:i w:val="0"/>
        </w:rPr>
        <w:t xml:space="preserve"> </w:t>
      </w:r>
      <w:r w:rsidRPr="00B50DEB">
        <w:rPr>
          <w:rFonts w:ascii="Times New Roman" w:hAnsi="Times New Roman" w:cs="Times New Roman"/>
          <w:i w:val="0"/>
        </w:rPr>
        <w:t>Experiências vicariantes de observação de comportamentos dos semelhantes referem-se a observar o outro, isto é, ver outros indivíduos atuando com sucesso pode dar origem a percepções de autoeficácia nos observadores, no sentido em que se convencem que também são capazes de ter sucesso.</w:t>
      </w:r>
      <w:r w:rsidR="0006750F" w:rsidRPr="00B50DEB">
        <w:rPr>
          <w:rFonts w:ascii="Times New Roman" w:hAnsi="Times New Roman" w:cs="Times New Roman"/>
          <w:i w:val="0"/>
        </w:rPr>
        <w:t xml:space="preserve"> </w:t>
      </w:r>
      <w:r w:rsidRPr="00B50DEB">
        <w:rPr>
          <w:rFonts w:ascii="Times New Roman" w:hAnsi="Times New Roman" w:cs="Times New Roman"/>
          <w:i w:val="0"/>
        </w:rPr>
        <w:t>Persuasão social é uma estratégia que busca mudar as cognições do indivíduo a respeito de si mesmo por meio de feedback, instruções verbais, reforço social etc.</w:t>
      </w:r>
      <w:r w:rsidR="0006750F" w:rsidRPr="00B50DEB">
        <w:rPr>
          <w:rFonts w:ascii="Times New Roman" w:hAnsi="Times New Roman" w:cs="Times New Roman"/>
          <w:i w:val="0"/>
        </w:rPr>
        <w:t xml:space="preserve"> </w:t>
      </w:r>
      <w:r w:rsidRPr="00B50DEB">
        <w:rPr>
          <w:rFonts w:ascii="Times New Roman" w:hAnsi="Times New Roman" w:cs="Times New Roman"/>
          <w:i w:val="0"/>
        </w:rPr>
        <w:t xml:space="preserve">Já os estados fisiológicos e </w:t>
      </w:r>
      <w:r w:rsidR="005F2A01">
        <w:rPr>
          <w:rFonts w:ascii="Times New Roman" w:hAnsi="Times New Roman" w:cs="Times New Roman"/>
          <w:i w:val="0"/>
        </w:rPr>
        <w:t>afetivos</w:t>
      </w:r>
      <w:r w:rsidRPr="00B50DEB">
        <w:rPr>
          <w:rFonts w:ascii="Times New Roman" w:hAnsi="Times New Roman" w:cs="Times New Roman"/>
          <w:i w:val="0"/>
        </w:rPr>
        <w:t xml:space="preserve"> fornecem a informação de que os indivíduos </w:t>
      </w:r>
      <w:r w:rsidR="0006750F" w:rsidRPr="00B50DEB">
        <w:rPr>
          <w:rFonts w:ascii="Times New Roman" w:hAnsi="Times New Roman" w:cs="Times New Roman"/>
          <w:i w:val="0"/>
        </w:rPr>
        <w:t xml:space="preserve">podem (ou não) estar </w:t>
      </w:r>
      <w:r w:rsidRPr="00B50DEB">
        <w:rPr>
          <w:rFonts w:ascii="Times New Roman" w:hAnsi="Times New Roman" w:cs="Times New Roman"/>
          <w:i w:val="0"/>
        </w:rPr>
        <w:t xml:space="preserve">aptos para realizar determinada tarefa. </w:t>
      </w:r>
      <w:r w:rsidR="0006750F" w:rsidRPr="00B50DEB">
        <w:rPr>
          <w:rFonts w:ascii="Times New Roman" w:hAnsi="Times New Roman" w:cs="Times New Roman"/>
          <w:i w:val="0"/>
        </w:rPr>
        <w:t xml:space="preserve">Alterações da frequência cardíaca, pressão arterial, dor, sudorese podem, dependendo </w:t>
      </w:r>
      <w:r w:rsidR="005F2A01">
        <w:rPr>
          <w:rFonts w:ascii="Times New Roman" w:hAnsi="Times New Roman" w:cs="Times New Roman"/>
          <w:i w:val="0"/>
        </w:rPr>
        <w:t>d</w:t>
      </w:r>
      <w:r w:rsidR="0006750F" w:rsidRPr="00B50DEB">
        <w:rPr>
          <w:rFonts w:ascii="Times New Roman" w:hAnsi="Times New Roman" w:cs="Times New Roman"/>
          <w:i w:val="0"/>
        </w:rPr>
        <w:t>a interpretação que o indivíduo faz sobre esses indicativos, influenciar na percepção da própria capacidade para agir (IAOCHITE, 2007)</w:t>
      </w:r>
    </w:p>
    <w:p w:rsidR="008B64BF" w:rsidRDefault="0079520E" w:rsidP="008741DA">
      <w:pPr>
        <w:pStyle w:val="Corpodetexto"/>
        <w:spacing w:line="360" w:lineRule="auto"/>
        <w:ind w:firstLine="709"/>
        <w:jc w:val="both"/>
        <w:rPr>
          <w:rFonts w:ascii="Times New Roman" w:hAnsi="Times New Roman"/>
          <w:i w:val="0"/>
        </w:rPr>
      </w:pPr>
      <w:r w:rsidRPr="008B64BF">
        <w:rPr>
          <w:rFonts w:ascii="Times New Roman" w:hAnsi="Times New Roman" w:cs="Times New Roman"/>
          <w:i w:val="0"/>
        </w:rPr>
        <w:t xml:space="preserve">A </w:t>
      </w:r>
      <w:r w:rsidR="00FD2953" w:rsidRPr="008B64BF">
        <w:rPr>
          <w:rFonts w:ascii="Times New Roman" w:hAnsi="Times New Roman" w:cs="Times New Roman"/>
          <w:i w:val="0"/>
        </w:rPr>
        <w:t>autoeficácia do técnico esportivo</w:t>
      </w:r>
      <w:r w:rsidR="005F2A01" w:rsidRPr="008B64BF">
        <w:rPr>
          <w:rFonts w:ascii="Times New Roman" w:hAnsi="Times New Roman" w:cs="Times New Roman"/>
          <w:i w:val="0"/>
        </w:rPr>
        <w:t xml:space="preserve"> (AETE)</w:t>
      </w:r>
      <w:r w:rsidRPr="008B64BF">
        <w:rPr>
          <w:rFonts w:ascii="Times New Roman" w:hAnsi="Times New Roman" w:cs="Times New Roman"/>
          <w:i w:val="0"/>
        </w:rPr>
        <w:t xml:space="preserve"> pode ser definida como a extensã</w:t>
      </w:r>
      <w:r w:rsidRPr="00E43C41">
        <w:rPr>
          <w:rFonts w:ascii="Times New Roman" w:hAnsi="Times New Roman" w:cs="Times New Roman"/>
          <w:i w:val="0"/>
        </w:rPr>
        <w:t xml:space="preserve">o </w:t>
      </w:r>
      <w:r w:rsidR="0006750F">
        <w:rPr>
          <w:rFonts w:ascii="Times New Roman" w:hAnsi="Times New Roman" w:cs="Times New Roman"/>
          <w:i w:val="0"/>
        </w:rPr>
        <w:t>n</w:t>
      </w:r>
      <w:r w:rsidR="005F2A01">
        <w:rPr>
          <w:rFonts w:ascii="Times New Roman" w:hAnsi="Times New Roman" w:cs="Times New Roman"/>
          <w:i w:val="0"/>
        </w:rPr>
        <w:t xml:space="preserve">a qual o técnico acredita ser capaz </w:t>
      </w:r>
      <w:r w:rsidRPr="00E43C41">
        <w:rPr>
          <w:rFonts w:ascii="Times New Roman" w:hAnsi="Times New Roman" w:cs="Times New Roman"/>
          <w:i w:val="0"/>
        </w:rPr>
        <w:t>de</w:t>
      </w:r>
      <w:r w:rsidR="009B6F1D">
        <w:rPr>
          <w:rFonts w:ascii="Times New Roman" w:hAnsi="Times New Roman" w:cs="Times New Roman"/>
          <w:i w:val="0"/>
        </w:rPr>
        <w:t xml:space="preserve"> afetar a aprendizagem e o desempenho dos atletas sob sua orientação.</w:t>
      </w:r>
      <w:r w:rsidRPr="00E43C41">
        <w:rPr>
          <w:rFonts w:ascii="Times New Roman" w:hAnsi="Times New Roman" w:cs="Times New Roman"/>
          <w:i w:val="0"/>
        </w:rPr>
        <w:t xml:space="preserve"> (FELTZ, CHASE, MORITZ</w:t>
      </w:r>
      <w:r w:rsidR="0006750F">
        <w:rPr>
          <w:rFonts w:ascii="Times New Roman" w:hAnsi="Times New Roman" w:cs="Times New Roman"/>
          <w:i w:val="0"/>
        </w:rPr>
        <w:t>,</w:t>
      </w:r>
      <w:r w:rsidRPr="00E43C41">
        <w:rPr>
          <w:rFonts w:ascii="Times New Roman" w:hAnsi="Times New Roman" w:cs="Times New Roman"/>
          <w:i w:val="0"/>
        </w:rPr>
        <w:t xml:space="preserve"> SULLIVAN, 1999).</w:t>
      </w:r>
      <w:r w:rsidR="009B6F1D">
        <w:rPr>
          <w:rFonts w:ascii="Times New Roman" w:hAnsi="Times New Roman" w:cs="Times New Roman"/>
          <w:i w:val="0"/>
        </w:rPr>
        <w:t xml:space="preserve"> </w:t>
      </w:r>
      <w:r w:rsidR="00A40557" w:rsidRPr="00FD2953">
        <w:rPr>
          <w:rFonts w:ascii="Times New Roman" w:hAnsi="Times New Roman"/>
          <w:i w:val="0"/>
        </w:rPr>
        <w:t xml:space="preserve">O estudo de Feltz et al. (1999) é referência no âmbito das discussões sobre esse construto na medida em que foi o precursor na literatura e, desde então, tem sido amplamente citado nas investigações posteriores. A descrição de cada dimensão desse construto parte dos apontamentos dessa investigação inicial. </w:t>
      </w:r>
      <w:r w:rsidRPr="00FD2953">
        <w:rPr>
          <w:rFonts w:ascii="Times New Roman" w:hAnsi="Times New Roman"/>
          <w:i w:val="0"/>
        </w:rPr>
        <w:t xml:space="preserve">A dimensão da </w:t>
      </w:r>
      <w:r w:rsidRPr="00FD2953">
        <w:rPr>
          <w:rFonts w:ascii="Times New Roman" w:hAnsi="Times New Roman"/>
        </w:rPr>
        <w:t>eficácia para a estratégia de jogo</w:t>
      </w:r>
      <w:r w:rsidRPr="00FD2953">
        <w:rPr>
          <w:rFonts w:ascii="Times New Roman" w:hAnsi="Times New Roman"/>
          <w:i w:val="0"/>
        </w:rPr>
        <w:t xml:space="preserve"> está relacionada à crença que o técnico tem em suas habilidades durante o treinamento, conduzindo a equipe a um desempenho de sucesso, </w:t>
      </w:r>
      <w:r w:rsidR="00A40557" w:rsidRPr="00FD2953">
        <w:rPr>
          <w:rFonts w:ascii="Times New Roman" w:hAnsi="Times New Roman"/>
          <w:i w:val="0"/>
        </w:rPr>
        <w:t xml:space="preserve">incluindo o reconhecimento dos </w:t>
      </w:r>
      <w:r w:rsidRPr="00FD2953">
        <w:rPr>
          <w:rFonts w:ascii="Times New Roman" w:hAnsi="Times New Roman"/>
          <w:i w:val="0"/>
        </w:rPr>
        <w:t>pontos fortes e fracos do time adversário</w:t>
      </w:r>
      <w:r w:rsidR="00A40557" w:rsidRPr="00FD2953">
        <w:rPr>
          <w:rFonts w:ascii="Times New Roman" w:hAnsi="Times New Roman"/>
          <w:i w:val="0"/>
        </w:rPr>
        <w:t xml:space="preserve"> e no entendimento das</w:t>
      </w:r>
      <w:r w:rsidRPr="00FD2953">
        <w:rPr>
          <w:rFonts w:ascii="Times New Roman" w:hAnsi="Times New Roman"/>
          <w:i w:val="0"/>
        </w:rPr>
        <w:t xml:space="preserve"> estratégias competitivas.</w:t>
      </w:r>
      <w:r w:rsidR="00A40557" w:rsidRPr="00FD2953">
        <w:rPr>
          <w:rFonts w:ascii="Times New Roman" w:hAnsi="Times New Roman"/>
          <w:i w:val="0"/>
        </w:rPr>
        <w:t xml:space="preserve"> </w:t>
      </w:r>
      <w:r w:rsidRPr="00FD2953">
        <w:rPr>
          <w:rFonts w:ascii="Times New Roman" w:hAnsi="Times New Roman"/>
          <w:i w:val="0"/>
        </w:rPr>
        <w:t xml:space="preserve">Na dimensão da </w:t>
      </w:r>
      <w:r w:rsidRPr="00FD2953">
        <w:rPr>
          <w:rFonts w:ascii="Times New Roman" w:hAnsi="Times New Roman"/>
        </w:rPr>
        <w:t>eficácia para a motivação</w:t>
      </w:r>
      <w:r w:rsidR="00A40557" w:rsidRPr="00FD2953">
        <w:rPr>
          <w:rFonts w:ascii="Times New Roman" w:hAnsi="Times New Roman"/>
          <w:i w:val="0"/>
        </w:rPr>
        <w:t xml:space="preserve">, a crença diz respeito à </w:t>
      </w:r>
      <w:r w:rsidRPr="00FD2953">
        <w:rPr>
          <w:rFonts w:ascii="Times New Roman" w:hAnsi="Times New Roman"/>
          <w:i w:val="0"/>
        </w:rPr>
        <w:t>capacidade</w:t>
      </w:r>
      <w:r w:rsidR="00A40557" w:rsidRPr="00FD2953">
        <w:rPr>
          <w:rFonts w:ascii="Times New Roman" w:hAnsi="Times New Roman"/>
          <w:i w:val="0"/>
        </w:rPr>
        <w:t xml:space="preserve"> do técnico</w:t>
      </w:r>
      <w:r w:rsidRPr="00FD2953">
        <w:rPr>
          <w:rFonts w:ascii="Times New Roman" w:hAnsi="Times New Roman"/>
          <w:i w:val="0"/>
        </w:rPr>
        <w:t xml:space="preserve"> para </w:t>
      </w:r>
      <w:r w:rsidR="00A40557" w:rsidRPr="00FD2953">
        <w:rPr>
          <w:rFonts w:ascii="Times New Roman" w:hAnsi="Times New Roman"/>
          <w:i w:val="0"/>
        </w:rPr>
        <w:t>influenciar</w:t>
      </w:r>
      <w:r w:rsidRPr="00FD2953">
        <w:rPr>
          <w:rFonts w:ascii="Times New Roman" w:hAnsi="Times New Roman"/>
          <w:i w:val="0"/>
        </w:rPr>
        <w:t xml:space="preserve"> as habilidades e </w:t>
      </w:r>
      <w:r w:rsidR="00A40557" w:rsidRPr="00FD2953">
        <w:rPr>
          <w:rFonts w:ascii="Times New Roman" w:hAnsi="Times New Roman"/>
          <w:i w:val="0"/>
        </w:rPr>
        <w:t xml:space="preserve">os </w:t>
      </w:r>
      <w:r w:rsidRPr="00FD2953">
        <w:rPr>
          <w:rFonts w:ascii="Times New Roman" w:hAnsi="Times New Roman"/>
          <w:i w:val="0"/>
        </w:rPr>
        <w:t>estados psicológicos d</w:t>
      </w:r>
      <w:r w:rsidR="00DC2EC0" w:rsidRPr="00FD2953">
        <w:rPr>
          <w:rFonts w:ascii="Times New Roman" w:hAnsi="Times New Roman"/>
          <w:i w:val="0"/>
        </w:rPr>
        <w:t>os atletas sob o seu comando</w:t>
      </w:r>
      <w:r w:rsidR="00A40557" w:rsidRPr="00FD2953">
        <w:rPr>
          <w:rFonts w:ascii="Times New Roman" w:hAnsi="Times New Roman"/>
          <w:i w:val="0"/>
        </w:rPr>
        <w:t>. A</w:t>
      </w:r>
      <w:r w:rsidRPr="00FD2953">
        <w:rPr>
          <w:rFonts w:ascii="Times New Roman" w:hAnsi="Times New Roman"/>
          <w:i w:val="0"/>
        </w:rPr>
        <w:t xml:space="preserve"> dimensão da </w:t>
      </w:r>
      <w:r w:rsidRPr="00FD2953">
        <w:rPr>
          <w:rFonts w:ascii="Times New Roman" w:hAnsi="Times New Roman"/>
        </w:rPr>
        <w:t>eficácia do técnico para ensinar</w:t>
      </w:r>
      <w:r w:rsidRPr="00FD2953">
        <w:rPr>
          <w:rFonts w:ascii="Times New Roman" w:hAnsi="Times New Roman"/>
          <w:i w:val="0"/>
        </w:rPr>
        <w:t xml:space="preserve">, </w:t>
      </w:r>
      <w:r w:rsidR="00A40557" w:rsidRPr="00FD2953">
        <w:rPr>
          <w:rFonts w:ascii="Times New Roman" w:hAnsi="Times New Roman"/>
          <w:i w:val="0"/>
        </w:rPr>
        <w:t>relaciona-se à</w:t>
      </w:r>
      <w:r w:rsidRPr="00FD2953">
        <w:rPr>
          <w:rFonts w:ascii="Times New Roman" w:hAnsi="Times New Roman"/>
          <w:i w:val="0"/>
        </w:rPr>
        <w:t xml:space="preserve"> crença</w:t>
      </w:r>
      <w:r w:rsidR="00FD2953">
        <w:rPr>
          <w:rFonts w:ascii="Times New Roman" w:hAnsi="Times New Roman"/>
          <w:i w:val="0"/>
        </w:rPr>
        <w:t xml:space="preserve"> nas suas habilidades de instrução e de diagnóstico</w:t>
      </w:r>
      <w:r w:rsidRPr="00FD2953">
        <w:rPr>
          <w:rFonts w:ascii="Times New Roman" w:hAnsi="Times New Roman"/>
          <w:i w:val="0"/>
        </w:rPr>
        <w:t xml:space="preserve"> </w:t>
      </w:r>
      <w:r w:rsidR="00FD2953">
        <w:rPr>
          <w:rFonts w:ascii="Times New Roman" w:hAnsi="Times New Roman"/>
          <w:i w:val="0"/>
        </w:rPr>
        <w:t>d</w:t>
      </w:r>
      <w:r w:rsidRPr="00FD2953">
        <w:rPr>
          <w:rFonts w:ascii="Times New Roman" w:hAnsi="Times New Roman"/>
          <w:i w:val="0"/>
        </w:rPr>
        <w:t xml:space="preserve">as ações que serão utilizadas </w:t>
      </w:r>
      <w:r w:rsidR="00DC2EC0" w:rsidRPr="00FD2953">
        <w:rPr>
          <w:rFonts w:ascii="Times New Roman" w:hAnsi="Times New Roman"/>
          <w:i w:val="0"/>
        </w:rPr>
        <w:t>para a aprendizagem das habilidades, estratégias e treinamentos individualizados</w:t>
      </w:r>
      <w:r w:rsidRPr="00FD2953">
        <w:rPr>
          <w:rFonts w:ascii="Times New Roman" w:hAnsi="Times New Roman"/>
          <w:i w:val="0"/>
        </w:rPr>
        <w:t xml:space="preserve">. </w:t>
      </w:r>
      <w:r w:rsidR="00DC2EC0" w:rsidRPr="00FD2953">
        <w:rPr>
          <w:rFonts w:ascii="Times New Roman" w:hAnsi="Times New Roman"/>
          <w:i w:val="0"/>
        </w:rPr>
        <w:t xml:space="preserve">Finalmente, </w:t>
      </w:r>
      <w:r w:rsidRPr="00FD2953">
        <w:rPr>
          <w:rFonts w:ascii="Times New Roman" w:hAnsi="Times New Roman"/>
          <w:i w:val="0"/>
        </w:rPr>
        <w:t xml:space="preserve">a dimensão da </w:t>
      </w:r>
      <w:r w:rsidRPr="00FD2953">
        <w:rPr>
          <w:rFonts w:ascii="Times New Roman" w:hAnsi="Times New Roman"/>
        </w:rPr>
        <w:t>eficácia para a formação do caráter</w:t>
      </w:r>
      <w:r w:rsidR="00FD2953">
        <w:rPr>
          <w:rFonts w:ascii="Times New Roman" w:hAnsi="Times New Roman"/>
          <w:i w:val="0"/>
        </w:rPr>
        <w:t xml:space="preserve"> </w:t>
      </w:r>
      <w:r w:rsidR="00FD2953" w:rsidRPr="00FD2953">
        <w:rPr>
          <w:rFonts w:ascii="Times New Roman" w:hAnsi="Times New Roman"/>
        </w:rPr>
        <w:t>e de valores</w:t>
      </w:r>
      <w:r w:rsidRPr="00FD2953">
        <w:rPr>
          <w:rFonts w:ascii="Times New Roman" w:hAnsi="Times New Roman"/>
          <w:i w:val="0"/>
        </w:rPr>
        <w:t xml:space="preserve"> </w:t>
      </w:r>
      <w:r w:rsidR="00DC2EC0" w:rsidRPr="00FD2953">
        <w:rPr>
          <w:rFonts w:ascii="Times New Roman" w:hAnsi="Times New Roman"/>
          <w:i w:val="0"/>
        </w:rPr>
        <w:t xml:space="preserve">diz respeito à crença na capacidade que </w:t>
      </w:r>
      <w:r w:rsidRPr="00FD2953">
        <w:rPr>
          <w:rFonts w:ascii="Times New Roman" w:hAnsi="Times New Roman"/>
          <w:i w:val="0"/>
        </w:rPr>
        <w:t>o técnico possui para influenciar o desenvolvimento pessoal e as atitudes positivas</w:t>
      </w:r>
      <w:r w:rsidR="00DC2EC0" w:rsidRPr="00FD2953">
        <w:rPr>
          <w:rFonts w:ascii="Times New Roman" w:hAnsi="Times New Roman"/>
          <w:i w:val="0"/>
        </w:rPr>
        <w:t xml:space="preserve"> e pró-ativas dos atletas</w:t>
      </w:r>
      <w:r w:rsidRPr="00FD2953">
        <w:rPr>
          <w:rFonts w:ascii="Times New Roman" w:hAnsi="Times New Roman"/>
          <w:i w:val="0"/>
        </w:rPr>
        <w:t xml:space="preserve"> para com o esporte</w:t>
      </w:r>
      <w:r w:rsidR="00DC2EC0" w:rsidRPr="00FD2953">
        <w:rPr>
          <w:rFonts w:ascii="Times New Roman" w:hAnsi="Times New Roman"/>
          <w:i w:val="0"/>
        </w:rPr>
        <w:t>.</w:t>
      </w:r>
      <w:r w:rsidR="008B64BF">
        <w:rPr>
          <w:rFonts w:ascii="Times New Roman" w:hAnsi="Times New Roman"/>
          <w:i w:val="0"/>
        </w:rPr>
        <w:t xml:space="preserve"> </w:t>
      </w:r>
    </w:p>
    <w:p w:rsidR="00FD1FE2" w:rsidRPr="008B64BF" w:rsidRDefault="0079520E" w:rsidP="008741DA">
      <w:pPr>
        <w:pStyle w:val="Corpodetexto"/>
        <w:spacing w:line="360" w:lineRule="auto"/>
        <w:ind w:firstLine="709"/>
        <w:jc w:val="both"/>
        <w:rPr>
          <w:rFonts w:ascii="Times New Roman" w:hAnsi="Times New Roman"/>
          <w:i w:val="0"/>
        </w:rPr>
      </w:pPr>
      <w:r w:rsidRPr="008B64BF">
        <w:rPr>
          <w:rFonts w:ascii="Times New Roman" w:hAnsi="Times New Roman"/>
          <w:i w:val="0"/>
        </w:rPr>
        <w:t xml:space="preserve">As quatro dimensões da </w:t>
      </w:r>
      <w:r w:rsidR="00FD2953" w:rsidRPr="008B64BF">
        <w:rPr>
          <w:rFonts w:ascii="Times New Roman" w:hAnsi="Times New Roman"/>
          <w:i w:val="0"/>
        </w:rPr>
        <w:t>autoeficácia do técnico esportivo</w:t>
      </w:r>
      <w:r w:rsidRPr="008B64BF">
        <w:rPr>
          <w:rFonts w:ascii="Times New Roman" w:hAnsi="Times New Roman"/>
          <w:i w:val="0"/>
        </w:rPr>
        <w:t xml:space="preserve"> são influenciadas pela experiência e atuação no passado (preparação e experiência como técnico, além dos registros de vitórias e derrotas), a percepção da habilidade ou do talento de seus atletas, e a percepção do seu apoio social (escola, comunidade e pais).</w:t>
      </w:r>
      <w:r w:rsidR="00DC2EC0" w:rsidRPr="008B64BF">
        <w:rPr>
          <w:rFonts w:ascii="Times New Roman" w:hAnsi="Times New Roman"/>
          <w:i w:val="0"/>
        </w:rPr>
        <w:t xml:space="preserve"> </w:t>
      </w:r>
      <w:r w:rsidRPr="008B64BF">
        <w:rPr>
          <w:rFonts w:ascii="Times New Roman" w:hAnsi="Times New Roman"/>
          <w:i w:val="0"/>
        </w:rPr>
        <w:t xml:space="preserve">As experiências pessoais (preparação e experiência como técnico e seus sucessos anteriores) são fontes de informação de autoeficácia, e por serem responsáveis por esse julgamento, são tidas como o fator mais forte da </w:t>
      </w:r>
      <w:r w:rsidR="00FD2953" w:rsidRPr="008B64BF">
        <w:rPr>
          <w:rFonts w:ascii="Times New Roman" w:hAnsi="Times New Roman"/>
          <w:i w:val="0"/>
        </w:rPr>
        <w:t>autoeficácia do técnico esportivo</w:t>
      </w:r>
      <w:r w:rsidRPr="008B64BF">
        <w:rPr>
          <w:rFonts w:ascii="Times New Roman" w:hAnsi="Times New Roman"/>
          <w:i w:val="0"/>
        </w:rPr>
        <w:t xml:space="preserve"> (BANDURA, 19</w:t>
      </w:r>
      <w:r w:rsidR="00DC2EC0" w:rsidRPr="008B64BF">
        <w:rPr>
          <w:rFonts w:ascii="Times New Roman" w:hAnsi="Times New Roman"/>
          <w:i w:val="0"/>
        </w:rPr>
        <w:t>9</w:t>
      </w:r>
      <w:r w:rsidRPr="008B64BF">
        <w:rPr>
          <w:rFonts w:ascii="Times New Roman" w:hAnsi="Times New Roman"/>
          <w:i w:val="0"/>
        </w:rPr>
        <w:t>7</w:t>
      </w:r>
      <w:r w:rsidR="00FD2953" w:rsidRPr="008B64BF">
        <w:rPr>
          <w:rFonts w:ascii="Times New Roman" w:hAnsi="Times New Roman"/>
          <w:i w:val="0"/>
        </w:rPr>
        <w:t xml:space="preserve">; </w:t>
      </w:r>
      <w:r w:rsidRPr="008B64BF">
        <w:rPr>
          <w:rFonts w:ascii="Times New Roman" w:hAnsi="Times New Roman"/>
          <w:i w:val="0"/>
        </w:rPr>
        <w:t>FELTZ</w:t>
      </w:r>
      <w:r w:rsidR="00DC2EC0" w:rsidRPr="008B64BF">
        <w:rPr>
          <w:rFonts w:ascii="Times New Roman" w:hAnsi="Times New Roman"/>
          <w:i w:val="0"/>
        </w:rPr>
        <w:t xml:space="preserve"> et al., 1999)</w:t>
      </w:r>
      <w:r w:rsidRPr="008B64BF">
        <w:rPr>
          <w:rFonts w:ascii="Times New Roman" w:hAnsi="Times New Roman"/>
          <w:i w:val="0"/>
        </w:rPr>
        <w:t>.</w:t>
      </w:r>
      <w:r w:rsidR="00DC2EC0" w:rsidRPr="008B64BF">
        <w:rPr>
          <w:rFonts w:ascii="Times New Roman" w:hAnsi="Times New Roman"/>
          <w:i w:val="0"/>
        </w:rPr>
        <w:t xml:space="preserve"> </w:t>
      </w:r>
      <w:r w:rsidR="00FD2953" w:rsidRPr="008B64BF">
        <w:rPr>
          <w:rFonts w:ascii="Times New Roman" w:hAnsi="Times New Roman"/>
          <w:i w:val="0"/>
        </w:rPr>
        <w:t>Feltz et al. (1999)</w:t>
      </w:r>
      <w:r w:rsidR="00DC2EC0" w:rsidRPr="008B64BF">
        <w:rPr>
          <w:rFonts w:ascii="Times New Roman" w:hAnsi="Times New Roman"/>
          <w:i w:val="0"/>
        </w:rPr>
        <w:t xml:space="preserve"> afirmam, ainda, </w:t>
      </w:r>
      <w:r w:rsidRPr="008B64BF">
        <w:rPr>
          <w:rFonts w:ascii="Times New Roman" w:hAnsi="Times New Roman"/>
          <w:i w:val="0"/>
        </w:rPr>
        <w:t xml:space="preserve">que </w:t>
      </w:r>
      <w:r w:rsidR="00FD2953" w:rsidRPr="008B64BF">
        <w:rPr>
          <w:rFonts w:ascii="Times New Roman" w:hAnsi="Times New Roman"/>
          <w:i w:val="0"/>
        </w:rPr>
        <w:t>o desenvolvimento d</w:t>
      </w:r>
      <w:r w:rsidRPr="008B64BF">
        <w:rPr>
          <w:rFonts w:ascii="Times New Roman" w:hAnsi="Times New Roman"/>
          <w:i w:val="0"/>
        </w:rPr>
        <w:t xml:space="preserve">a </w:t>
      </w:r>
      <w:r w:rsidR="00FD2953" w:rsidRPr="008B64BF">
        <w:rPr>
          <w:rFonts w:ascii="Times New Roman" w:hAnsi="Times New Roman"/>
          <w:i w:val="0"/>
        </w:rPr>
        <w:t>autoeficácia do técnico esportivo</w:t>
      </w:r>
      <w:r w:rsidRPr="008B64BF">
        <w:rPr>
          <w:rFonts w:ascii="Times New Roman" w:hAnsi="Times New Roman"/>
          <w:i w:val="0"/>
        </w:rPr>
        <w:t xml:space="preserve"> </w:t>
      </w:r>
      <w:r w:rsidR="00FD2953" w:rsidRPr="008B64BF">
        <w:rPr>
          <w:rFonts w:ascii="Times New Roman" w:hAnsi="Times New Roman"/>
          <w:i w:val="0"/>
        </w:rPr>
        <w:t>tem como consequência influenciar o comportamento do técnico, a satisfação e o desempenho do atleta e da equipe, além da autoeficácia</w:t>
      </w:r>
      <w:r w:rsidR="00FC253E" w:rsidRPr="008B64BF">
        <w:rPr>
          <w:rFonts w:ascii="Times New Roman" w:hAnsi="Times New Roman"/>
          <w:i w:val="0"/>
        </w:rPr>
        <w:t>,</w:t>
      </w:r>
      <w:r w:rsidR="00FD2953" w:rsidRPr="008B64BF">
        <w:rPr>
          <w:rFonts w:ascii="Times New Roman" w:hAnsi="Times New Roman"/>
          <w:i w:val="0"/>
        </w:rPr>
        <w:t xml:space="preserve"> </w:t>
      </w:r>
      <w:r w:rsidRPr="008B64BF">
        <w:rPr>
          <w:rFonts w:ascii="Times New Roman" w:hAnsi="Times New Roman"/>
          <w:i w:val="0"/>
        </w:rPr>
        <w:t xml:space="preserve">no comportamento e atitudes do </w:t>
      </w:r>
      <w:r w:rsidR="00FC253E" w:rsidRPr="008B64BF">
        <w:rPr>
          <w:rFonts w:ascii="Times New Roman" w:hAnsi="Times New Roman"/>
          <w:i w:val="0"/>
        </w:rPr>
        <w:t>atleta e da equipe como um todo.</w:t>
      </w:r>
    </w:p>
    <w:p w:rsidR="00D70E9B" w:rsidRDefault="00FD1FE2" w:rsidP="008741DA">
      <w:pPr>
        <w:spacing w:line="360" w:lineRule="auto"/>
        <w:ind w:firstLine="709"/>
      </w:pPr>
      <w:r>
        <w:t xml:space="preserve">Estudos tem </w:t>
      </w:r>
      <w:r w:rsidR="00C40834">
        <w:t xml:space="preserve">reforçado as dimensões da autoeficácia do técnico esportivo em diferentes modalidades esportivas e contextos. Malete e Feltz (2000) encontraram efeitos significativos sobre a autoeficácia de técnicos </w:t>
      </w:r>
      <w:r w:rsidR="000A62EB">
        <w:t xml:space="preserve">em nível amador escolar </w:t>
      </w:r>
      <w:r w:rsidR="00C40834">
        <w:t xml:space="preserve">que </w:t>
      </w:r>
      <w:r w:rsidR="000A62EB">
        <w:t>participaram de um programa de formação em relação aos técnicos do grupo controle.</w:t>
      </w:r>
      <w:r w:rsidR="002A53ED">
        <w:t xml:space="preserve"> Eficácia para a motivação e estratégia de jogo </w:t>
      </w:r>
      <w:r w:rsidR="00D70E9B">
        <w:t>contribuíram significativamente</w:t>
      </w:r>
      <w:r w:rsidR="00C718A3">
        <w:t xml:space="preserve"> como preditoras</w:t>
      </w:r>
      <w:r w:rsidR="00D70E9B">
        <w:t xml:space="preserve"> da relação entre autoeficácia do técnico esportivo e estilos de liderança de 224 técnicos intercolegiais de diferentes países (SULLIVAN e KENT, 2003). </w:t>
      </w:r>
    </w:p>
    <w:p w:rsidR="0079520E" w:rsidRDefault="00C718A3" w:rsidP="00C150BE">
      <w:pPr>
        <w:spacing w:line="360" w:lineRule="auto"/>
        <w:ind w:firstLine="709"/>
      </w:pPr>
      <w:r>
        <w:t xml:space="preserve">Com o objetivo de examinar a influência das fontes </w:t>
      </w:r>
      <w:r w:rsidR="00B02E04">
        <w:t xml:space="preserve">que constituem a </w:t>
      </w:r>
      <w:r>
        <w:t>autoeficácia</w:t>
      </w:r>
      <w:r w:rsidR="00AF70D4">
        <w:t>, bem como variáveis ligadas ao comportamento do técnico e da equipe, Myers, Vargas-Tonsing, Feltz (2005)</w:t>
      </w:r>
      <w:r w:rsidR="00A63190">
        <w:t xml:space="preserve"> aplicaram questionários a 135 técnicos de ambos os sexos, atuantes em campeonatos intercolegiais e a 1618 atletas em duas fases distintas. Para as técnicas, o suporte social foi a fonte de maior impacto em relação aos técnicos. A autoeficácia dos técnicos foi preditora do comportamento, da satisfação e do percentual de vitórias para os técnicos. Já, a eficácia para a motivação esteve positivamente relacionada com a satisfação de equipes femininas lideradas por mulheres.</w:t>
      </w:r>
      <w:r w:rsidR="00363E0D">
        <w:t xml:space="preserve"> Outras variáveis, como por exemplo, tempo de experiência como técnico</w:t>
      </w:r>
      <w:r w:rsidR="00AA16F0">
        <w:t xml:space="preserve"> e</w:t>
      </w:r>
      <w:r w:rsidR="00363E0D">
        <w:t xml:space="preserve"> </w:t>
      </w:r>
      <w:r w:rsidR="00AA16F0">
        <w:t>gênero foram mensuradas juntamente com a autoeficácia de técnicos esportivos ingleses e de seus atletas que competiam em modalidades individuais e coletivas.</w:t>
      </w:r>
      <w:r w:rsidR="00C03070">
        <w:t xml:space="preserve"> O tempo de experiência esteve positivamente relacionado com a dimensão da eficácia para a estratégia de jogo para técnicos, os quais apresentaram maior pontuação para essa </w:t>
      </w:r>
      <w:r w:rsidR="00075D5B">
        <w:t>dimensão em relação às mulheres (</w:t>
      </w:r>
      <w:r w:rsidR="003574F3">
        <w:t>KAVUSSANU</w:t>
      </w:r>
      <w:r w:rsidR="00C150BE">
        <w:t xml:space="preserve"> et al., </w:t>
      </w:r>
      <w:r w:rsidR="00075D5B">
        <w:t>2008).</w:t>
      </w:r>
      <w:r w:rsidR="00C150BE">
        <w:br/>
      </w:r>
      <w:r w:rsidR="008741DA">
        <w:tab/>
      </w:r>
      <w:r w:rsidR="00505159">
        <w:t>Em síntese e em consonância com o papel da autoeficácia, conforme apontado por Bandura (1997) e Feltz et al. (1999), t</w:t>
      </w:r>
      <w:r w:rsidR="0079520E" w:rsidRPr="00E43C41">
        <w:t>éc</w:t>
      </w:r>
      <w:r w:rsidR="00AF70D4">
        <w:t>nicos com altos níveis de autoef</w:t>
      </w:r>
      <w:r w:rsidR="0079520E" w:rsidRPr="00E43C41">
        <w:t xml:space="preserve">icácia </w:t>
      </w:r>
      <w:r w:rsidR="00C15953">
        <w:t>tendem a apresentar</w:t>
      </w:r>
      <w:r w:rsidR="0079520E" w:rsidRPr="00E43C41">
        <w:t xml:space="preserve"> </w:t>
      </w:r>
      <w:r w:rsidR="00C15953">
        <w:t>comportamentos</w:t>
      </w:r>
      <w:r w:rsidR="0079520E" w:rsidRPr="00E43C41">
        <w:t xml:space="preserve"> tátic</w:t>
      </w:r>
      <w:r w:rsidR="00C15953">
        <w:t>o</w:t>
      </w:r>
      <w:r w:rsidR="0079520E" w:rsidRPr="00E43C41">
        <w:t>s mais eficientes, u</w:t>
      </w:r>
      <w:r w:rsidR="00C15953">
        <w:t>tilizam</w:t>
      </w:r>
      <w:r w:rsidR="0079520E" w:rsidRPr="00E43C41">
        <w:t xml:space="preserve"> técnicas de motivação e de feedback </w:t>
      </w:r>
      <w:r w:rsidR="00C15953">
        <w:t>que tendem a gerar mais engajamento pelos atletas, além do</w:t>
      </w:r>
      <w:r w:rsidR="0079520E" w:rsidRPr="00E43C41">
        <w:t xml:space="preserve"> compromisso e de</w:t>
      </w:r>
      <w:r w:rsidR="00C15953">
        <w:t xml:space="preserve">dicação </w:t>
      </w:r>
      <w:r w:rsidR="0079520E" w:rsidRPr="00E43C41">
        <w:t>de tempo ao treinamento</w:t>
      </w:r>
      <w:r w:rsidR="00C15953">
        <w:t>. Esses aspectos</w:t>
      </w:r>
      <w:r w:rsidR="0079520E" w:rsidRPr="00E43C41">
        <w:t>,</w:t>
      </w:r>
      <w:r w:rsidR="00C15953">
        <w:t xml:space="preserve"> de alguma forma, tem relações com a satisfação dos atletas e com o desempenho de ambos, técnicos e atletas.</w:t>
      </w:r>
      <w:r w:rsidR="00C150BE">
        <w:t xml:space="preserve"> </w:t>
      </w:r>
      <w:r w:rsidR="0079520E" w:rsidRPr="00E43C41">
        <w:t>O presente estudo teve como objetivo mensurar</w:t>
      </w:r>
      <w:r w:rsidR="00DC2EC0">
        <w:t>, exploratoriamente,</w:t>
      </w:r>
      <w:r w:rsidR="0079520E" w:rsidRPr="00E43C41">
        <w:t xml:space="preserve"> o nível de autoeficácia de técnicos esportivos que atuam com equipes de treinamento, em </w:t>
      </w:r>
      <w:r w:rsidR="00D8430B">
        <w:t xml:space="preserve">diferentes categorias, no </w:t>
      </w:r>
      <w:r w:rsidR="0079520E" w:rsidRPr="00E43C41">
        <w:t xml:space="preserve">nível </w:t>
      </w:r>
      <w:r w:rsidR="00C15953">
        <w:t xml:space="preserve">amador. </w:t>
      </w:r>
      <w:r w:rsidR="0079520E" w:rsidRPr="00E43C41">
        <w:t>Diante das informações levantadas po</w:t>
      </w:r>
      <w:r w:rsidR="00C15953">
        <w:t xml:space="preserve">r este estudo, é possível destacar a relevância de se estudar a autoeficácia de técnicos considerando o desenvolvimento dessas crenças durante os momentos de formação profissional, inicial e continuada, bem como contribuindo para o planejamento de estratégias que contribuam não apenas para a melhora do desempenho – resultados – nas competições, mas também para as relações entre técnico e atleta durante os treinamentos </w:t>
      </w:r>
      <w:r w:rsidR="006444FE">
        <w:t xml:space="preserve">e para o enfrentamento das dificuldades e imprevisibilidade presentes no contexto esportivo. </w:t>
      </w:r>
    </w:p>
    <w:p w:rsidR="006F6AA8" w:rsidRDefault="006F6AA8" w:rsidP="008741DA">
      <w:pPr>
        <w:spacing w:line="360" w:lineRule="auto"/>
        <w:rPr>
          <w:b/>
        </w:rPr>
      </w:pPr>
      <w:r>
        <w:rPr>
          <w:b/>
        </w:rPr>
        <w:br w:type="page"/>
      </w:r>
    </w:p>
    <w:p w:rsidR="0079520E" w:rsidRPr="00E43C41" w:rsidRDefault="0079520E" w:rsidP="008741DA">
      <w:pPr>
        <w:tabs>
          <w:tab w:val="left" w:pos="3451"/>
          <w:tab w:val="center" w:pos="4535"/>
        </w:tabs>
        <w:spacing w:line="360" w:lineRule="auto"/>
      </w:pPr>
      <w:r w:rsidRPr="00E43C41">
        <w:rPr>
          <w:b/>
        </w:rPr>
        <w:t>MÉTODO</w:t>
      </w:r>
    </w:p>
    <w:p w:rsidR="0079520E" w:rsidRPr="00E43C41" w:rsidRDefault="0079520E" w:rsidP="008741DA">
      <w:pPr>
        <w:spacing w:line="360" w:lineRule="auto"/>
      </w:pPr>
    </w:p>
    <w:p w:rsidR="0079520E" w:rsidRPr="00E43C41" w:rsidRDefault="0079520E" w:rsidP="00C150BE">
      <w:pPr>
        <w:spacing w:line="360" w:lineRule="auto"/>
        <w:ind w:firstLine="709"/>
      </w:pPr>
      <w:r w:rsidRPr="00E43C41">
        <w:t xml:space="preserve">Participaram desse estudo 36 profissionais, selecionados por conveniência, sendo 86% do gênero masculino e 14% do gênero feminino, com faixa etária de </w:t>
      </w:r>
      <w:smartTag w:uri="urn:schemas-microsoft-com:office:smarttags" w:element="metricconverter">
        <w:smartTagPr>
          <w:attr w:name="ProductID" w:val="22 a"/>
        </w:smartTagPr>
        <w:r w:rsidRPr="00E43C41">
          <w:t>22 a</w:t>
        </w:r>
      </w:smartTag>
      <w:r w:rsidRPr="00E43C41">
        <w:t xml:space="preserve"> 60 anos, sendo a média 33,9 anos e desvio padrão de 10,9 anos.</w:t>
      </w:r>
      <w:r w:rsidR="00DC2EC0">
        <w:t xml:space="preserve"> </w:t>
      </w:r>
      <w:r w:rsidRPr="00E43C41">
        <w:t xml:space="preserve">Desse total 22% atuavam com iniciação esportiva, 8% atuavam com categorias intermediárias, 6% atuavam com a categoria adulta e 64% atuavam em mais de uma categoria.  Quanto ao nível de competição, 86% atuavam em nível amador, 11% atuavam em nível profissional e 3% atuavam em ambos os níveis. Com relação à formação acadêmica dos participantes foi encontrado que 14% concluíram a graduação no período compreendido entre </w:t>
      </w:r>
      <w:smartTag w:uri="urn:schemas-microsoft-com:office:smarttags" w:element="metricconverter">
        <w:smartTagPr>
          <w:attr w:name="ProductID" w:val="1974 a"/>
        </w:smartTagPr>
        <w:r w:rsidRPr="00E43C41">
          <w:t>1974 a</w:t>
        </w:r>
      </w:smartTag>
      <w:r w:rsidRPr="00E43C41">
        <w:t xml:space="preserve"> 1984, 17% concluíram no período compreendido entre </w:t>
      </w:r>
      <w:smartTag w:uri="urn:schemas-microsoft-com:office:smarttags" w:element="metricconverter">
        <w:smartTagPr>
          <w:attr w:name="ProductID" w:val="1985 a"/>
        </w:smartTagPr>
        <w:r w:rsidRPr="00E43C41">
          <w:t>1985 a</w:t>
        </w:r>
      </w:smartTag>
      <w:r w:rsidRPr="00E43C41">
        <w:t xml:space="preserve"> 1995, 64% concluíram a graduação no período compreendido entre </w:t>
      </w:r>
      <w:smartTag w:uri="urn:schemas-microsoft-com:office:smarttags" w:element="metricconverter">
        <w:smartTagPr>
          <w:attr w:name="ProductID" w:val="1996 a"/>
        </w:smartTagPr>
        <w:r w:rsidRPr="00E43C41">
          <w:t>1996 a</w:t>
        </w:r>
      </w:smartTag>
      <w:r w:rsidRPr="00E43C41">
        <w:t xml:space="preserve"> 2007 e 5% dos participantes não havia concluído a graduação. Quanto à modalidade esportiva que atuavam como técnico 61% deles atuavam com voleibol, 3% atuavam com futsal, 14% atuavam com futebol, 5% atuavam com handebol e 17% atuavam em mais de uma modalidade esportiva. O tempo de atuação dos participantes na atividade de técnico esportivo variou de </w:t>
      </w:r>
      <w:smartTag w:uri="urn:schemas-microsoft-com:office:smarttags" w:element="metricconverter">
        <w:smartTagPr>
          <w:attr w:name="ProductID" w:val="1 a"/>
        </w:smartTagPr>
        <w:r w:rsidRPr="00E43C41">
          <w:t>1 a</w:t>
        </w:r>
      </w:smartTag>
      <w:r w:rsidRPr="00E43C41">
        <w:t xml:space="preserve"> 35 anos de profissão, sendo que a média foi de 8,47 anos e desvio padrão de 8,41 anos.</w:t>
      </w:r>
    </w:p>
    <w:p w:rsidR="0079520E" w:rsidRPr="00E43C41" w:rsidRDefault="0079520E" w:rsidP="00C150BE">
      <w:pPr>
        <w:spacing w:line="360" w:lineRule="auto"/>
        <w:ind w:firstLine="709"/>
      </w:pPr>
      <w:r w:rsidRPr="00E43C41">
        <w:t xml:space="preserve">Como instrumentos nesse estudo foram utilizados: 1) Questionário de caracterização do participante, que consiste de um questionário contendo questões fechadas acerca das seguintes características: idade, gênero, formação, atuação, além do nível de satisfação com a profissão e quanto à infra-estrutura disponível para exercer as atividades; 2) Escala de </w:t>
      </w:r>
      <w:r w:rsidR="00FD2953">
        <w:t>autoeficácia do técnico esportivo</w:t>
      </w:r>
      <w:r w:rsidRPr="00E43C41">
        <w:t xml:space="preserve"> (CES – Coaching Efficacy Scale), de Feltz, Chase, Moritz e Sullivan (1999) que tem seus itens distribuídos nas dimensões: estratégia de jogo, motivação, técnica para ensinar e formação do caráter. A escala possui 24 itens, sendo que a variância da escala foi de 65,47%, com alfa de </w:t>
      </w:r>
      <w:r w:rsidR="006444FE" w:rsidRPr="006444FE">
        <w:rPr>
          <w:i/>
        </w:rPr>
        <w:t>Cronbach</w:t>
      </w:r>
      <w:r w:rsidRPr="00E43C41">
        <w:t xml:space="preserve"> de 0,</w:t>
      </w:r>
      <w:r w:rsidR="00C150BE">
        <w:t>79</w:t>
      </w:r>
      <w:r w:rsidRPr="00E43C41">
        <w:t>.</w:t>
      </w:r>
      <w:r w:rsidR="00C150BE">
        <w:t xml:space="preserve"> A</w:t>
      </w:r>
      <w:r w:rsidRPr="00E43C41">
        <w:t xml:space="preserve"> dimensão da </w:t>
      </w:r>
      <w:r w:rsidRPr="00E43C41">
        <w:rPr>
          <w:i/>
        </w:rPr>
        <w:t>eficácia para motivação</w:t>
      </w:r>
      <w:r w:rsidRPr="00E43C41">
        <w:t xml:space="preserve"> continha itens como, por exemplo, “manter a confiança nos seus atletas”, “preparar os atletas mentalmente para o jogo/ encontrar estratégias” apresentou alfa de </w:t>
      </w:r>
      <w:r w:rsidR="006444FE" w:rsidRPr="006444FE">
        <w:rPr>
          <w:i/>
        </w:rPr>
        <w:t>Cronbach</w:t>
      </w:r>
      <w:r w:rsidRPr="00E43C41">
        <w:t xml:space="preserve"> de 0,</w:t>
      </w:r>
      <w:r w:rsidR="00C150BE">
        <w:t>91</w:t>
      </w:r>
      <w:r w:rsidRPr="00E43C41">
        <w:t xml:space="preserve">. A dimensão da </w:t>
      </w:r>
      <w:r w:rsidRPr="00E43C41">
        <w:rPr>
          <w:i/>
        </w:rPr>
        <w:t>eficácia para a estratégia de jogo</w:t>
      </w:r>
      <w:r w:rsidRPr="00E43C41">
        <w:t xml:space="preserve"> continha itens como, por exemplo, “adaptar-se a situações diferentes de jogo”, “desenvolver as capacidades dos atletas”, obteve alfa de </w:t>
      </w:r>
      <w:r w:rsidR="006444FE" w:rsidRPr="006444FE">
        <w:rPr>
          <w:i/>
        </w:rPr>
        <w:t>Cronbach</w:t>
      </w:r>
      <w:r w:rsidRPr="00E43C41">
        <w:t xml:space="preserve"> de 0,</w:t>
      </w:r>
      <w:r w:rsidR="00C150BE">
        <w:t>84</w:t>
      </w:r>
      <w:r w:rsidRPr="00E43C41">
        <w:t xml:space="preserve">. Já a dimensão da </w:t>
      </w:r>
      <w:r w:rsidRPr="00E43C41">
        <w:rPr>
          <w:i/>
        </w:rPr>
        <w:t>eficácia para a formação do caráter</w:t>
      </w:r>
      <w:r w:rsidRPr="00E43C41">
        <w:t xml:space="preserve"> foi composta por itens como “estabelecer uma atitude de “jogo limpo” (fair-play) entre os seus atletas”, “promover um bom companheirismo no esporte” etc., apresentou alfa de </w:t>
      </w:r>
      <w:r w:rsidR="006444FE" w:rsidRPr="006444FE">
        <w:rPr>
          <w:i/>
        </w:rPr>
        <w:t>Cronbach</w:t>
      </w:r>
      <w:r w:rsidRPr="00E43C41">
        <w:t xml:space="preserve"> de 0,</w:t>
      </w:r>
      <w:r w:rsidR="00C150BE">
        <w:t>77</w:t>
      </w:r>
      <w:r w:rsidRPr="00E43C41">
        <w:t xml:space="preserve">. Por fim, a dimensão da </w:t>
      </w:r>
      <w:r w:rsidRPr="00E43C41">
        <w:rPr>
          <w:i/>
        </w:rPr>
        <w:t>eficácia técnica para ensinar</w:t>
      </w:r>
      <w:r w:rsidRPr="00E43C41">
        <w:t xml:space="preserve"> continha itens como, por exemplo, “demonstrar as habilidades do seu esporte”, “reconhecer o talento dos atletas” apresentou alfa de </w:t>
      </w:r>
      <w:r w:rsidR="006444FE" w:rsidRPr="006444FE">
        <w:rPr>
          <w:i/>
        </w:rPr>
        <w:t>Cronbach</w:t>
      </w:r>
      <w:r w:rsidR="00C150BE">
        <w:t xml:space="preserve"> de 0,66</w:t>
      </w:r>
      <w:r w:rsidRPr="00E43C41">
        <w:t xml:space="preserve">. </w:t>
      </w:r>
    </w:p>
    <w:p w:rsidR="0079520E" w:rsidRPr="00E43C41" w:rsidRDefault="0079520E" w:rsidP="00C150BE">
      <w:pPr>
        <w:spacing w:line="360" w:lineRule="auto"/>
        <w:ind w:firstLine="709"/>
      </w:pPr>
      <w:r w:rsidRPr="00E43C41">
        <w:t xml:space="preserve">Após a autorização dos autores para a tradução e utilização no cenário nacional, o instrumento foi aplicado entre os meses de julho e agosto de </w:t>
      </w:r>
      <w:smartTag w:uri="urn:schemas-microsoft-com:office:smarttags" w:element="metricconverter">
        <w:smartTagPr>
          <w:attr w:name="ProductID" w:val="2007. A"/>
        </w:smartTagPr>
        <w:r w:rsidRPr="00E43C41">
          <w:t>2007. A</w:t>
        </w:r>
      </w:smartTag>
      <w:r w:rsidRPr="00E43C41">
        <w:t xml:space="preserve"> adesão à pesquisa aconteceu de forma voluntária e foi assegurada a manutenção do sigilo na identificação do participante, por meio da assinatura do termo de consentimento livre e esclarecido, aprovado pelo comitê de ética em pesquisa da Universidade de Taubaté</w:t>
      </w:r>
      <w:r w:rsidR="00C935F4">
        <w:t xml:space="preserve">, </w:t>
      </w:r>
      <w:r w:rsidR="006444FE">
        <w:t>sob protocolo nº 405/09.</w:t>
      </w:r>
      <w:r w:rsidR="00625D9D">
        <w:t xml:space="preserve"> </w:t>
      </w:r>
      <w:r w:rsidRPr="00E43C41">
        <w:t>Os instrumentos foram aplicados individualmente aos participantes da pesquisa, nos locais de treinamento e/ou competição dos mesmos. Não havia limite de tempo para o preenchimento, de forma que estes poderiam desistir da pesquisa a qualquer momento.</w:t>
      </w:r>
    </w:p>
    <w:p w:rsidR="0079520E" w:rsidRPr="00E43C41" w:rsidRDefault="0079520E" w:rsidP="008741DA">
      <w:pPr>
        <w:spacing w:line="360" w:lineRule="auto"/>
      </w:pPr>
      <w:r w:rsidRPr="00E43C41">
        <w:tab/>
        <w:t xml:space="preserve">Na realização da coleta, havia uma breve explicação sobre os objetivos e procedimentos do estudo, destacando o caráter espontâneo e sigiloso da participação, assim como a possibilidade de desistência </w:t>
      </w:r>
      <w:r w:rsidR="00C150BE">
        <w:t>em qualquer momento do estudo, conforme previsto no Termo de Consentimento Livre e Esclarecido assinado por cada participante no momento da coleta de dados.</w:t>
      </w:r>
      <w:r w:rsidRPr="00E43C41">
        <w:t xml:space="preserve"> A presença d</w:t>
      </w:r>
      <w:r w:rsidR="00E31164">
        <w:t>e um dos pesquisadores</w:t>
      </w:r>
      <w:r w:rsidRPr="00E43C41">
        <w:t xml:space="preserve"> na coleta foi </w:t>
      </w:r>
      <w:r w:rsidR="00E31164">
        <w:t>garantida</w:t>
      </w:r>
      <w:r w:rsidRPr="00E43C41">
        <w:t xml:space="preserve"> para que os esclarecimentos que se fizessem necessários fossem atendidos. Após a tabulação dos dados em planilha do programa Excel, os dados foram transferidos e analisados pelo programa Statistics Package of Social Sciences </w:t>
      </w:r>
      <w:r w:rsidR="00625D9D">
        <w:t xml:space="preserve">(SPSS v. 17) </w:t>
      </w:r>
      <w:r w:rsidRPr="00E43C41">
        <w:t>por meio de estatística descritiva.</w:t>
      </w:r>
    </w:p>
    <w:p w:rsidR="0079520E" w:rsidRPr="00E43C41" w:rsidRDefault="0079520E" w:rsidP="008741DA">
      <w:pPr>
        <w:spacing w:line="360" w:lineRule="auto"/>
        <w:rPr>
          <w:b/>
        </w:rPr>
      </w:pPr>
    </w:p>
    <w:p w:rsidR="0079520E" w:rsidRPr="00E43C41" w:rsidRDefault="0079520E" w:rsidP="008741DA">
      <w:pPr>
        <w:spacing w:line="360" w:lineRule="auto"/>
        <w:rPr>
          <w:b/>
        </w:rPr>
      </w:pPr>
      <w:r w:rsidRPr="00E43C41">
        <w:rPr>
          <w:b/>
        </w:rPr>
        <w:t>RESULTADOS</w:t>
      </w:r>
    </w:p>
    <w:p w:rsidR="0079520E" w:rsidRPr="00E43C41" w:rsidRDefault="0079520E" w:rsidP="008741DA">
      <w:pPr>
        <w:spacing w:line="360" w:lineRule="auto"/>
        <w:rPr>
          <w:b/>
        </w:rPr>
      </w:pPr>
    </w:p>
    <w:p w:rsidR="00246754" w:rsidRDefault="00C74810" w:rsidP="008741DA">
      <w:pPr>
        <w:spacing w:line="360" w:lineRule="auto"/>
      </w:pPr>
      <w:r>
        <w:t>A dimensão</w:t>
      </w:r>
      <w:r w:rsidR="00246754" w:rsidRPr="00E43C41">
        <w:t xml:space="preserve"> que obteve a maior média na escala foi </w:t>
      </w:r>
      <w:r>
        <w:t>a</w:t>
      </w:r>
      <w:r w:rsidR="00246754" w:rsidRPr="00E43C41">
        <w:t xml:space="preserve"> que corresponde </w:t>
      </w:r>
      <w:r>
        <w:t>à</w:t>
      </w:r>
      <w:r w:rsidR="00246754" w:rsidRPr="00E43C41">
        <w:t xml:space="preserve"> eficácia para formação do caráter. Já </w:t>
      </w:r>
      <w:r>
        <w:t xml:space="preserve">a com </w:t>
      </w:r>
      <w:r w:rsidR="00246754" w:rsidRPr="00E43C41">
        <w:t xml:space="preserve">menor média foi </w:t>
      </w:r>
      <w:r w:rsidR="00E82DD7">
        <w:t>a dimensão correspondente à eficácia para a motivação.</w:t>
      </w:r>
      <w:r w:rsidR="00246754">
        <w:t xml:space="preserve"> </w:t>
      </w:r>
      <w:r w:rsidR="00246754" w:rsidRPr="00E43C41">
        <w:t>Já</w:t>
      </w:r>
      <w:r w:rsidR="00E82DD7">
        <w:t xml:space="preserve">, </w:t>
      </w:r>
      <w:r w:rsidR="00246754" w:rsidRPr="00E43C41">
        <w:t>as dimensões da eficácia para a estratégia de jogo e eficácia técnica para ensinar apresentaram</w:t>
      </w:r>
      <w:r w:rsidR="00E82DD7">
        <w:t xml:space="preserve">, respectivamente, </w:t>
      </w:r>
      <w:r w:rsidR="00246754" w:rsidRPr="00E43C41">
        <w:t xml:space="preserve">valores intermediários, </w:t>
      </w:r>
      <w:r w:rsidR="00E82DD7">
        <w:t>c</w:t>
      </w:r>
      <w:r>
        <w:t>onforme Tabela 1.</w:t>
      </w:r>
    </w:p>
    <w:p w:rsidR="006F6AA8" w:rsidRDefault="006F6AA8" w:rsidP="00C74810">
      <w:pPr>
        <w:spacing w:line="360" w:lineRule="auto"/>
      </w:pPr>
      <w:r>
        <w:br/>
      </w:r>
      <w:r>
        <w:br/>
      </w:r>
      <w:r>
        <w:br/>
      </w:r>
    </w:p>
    <w:p w:rsidR="006F6AA8" w:rsidRDefault="006F6AA8">
      <w:pPr>
        <w:spacing w:after="200" w:line="276" w:lineRule="auto"/>
      </w:pPr>
      <w:r>
        <w:br w:type="page"/>
      </w:r>
    </w:p>
    <w:p w:rsidR="0079520E" w:rsidRPr="00625D9D" w:rsidRDefault="0079520E" w:rsidP="00C74810">
      <w:pPr>
        <w:spacing w:line="360" w:lineRule="auto"/>
        <w:jc w:val="left"/>
      </w:pPr>
      <w:r w:rsidRPr="00625D9D">
        <w:t xml:space="preserve">Tabela 1: Média e Alfa de </w:t>
      </w:r>
      <w:r w:rsidR="006444FE" w:rsidRPr="00625D9D">
        <w:rPr>
          <w:i/>
        </w:rPr>
        <w:t>Cronbach</w:t>
      </w:r>
      <w:r w:rsidRPr="00625D9D">
        <w:t xml:space="preserve"> para os 4 fatores da Escala</w:t>
      </w:r>
    </w:p>
    <w:tbl>
      <w:tblPr>
        <w:tblpPr w:leftFromText="141" w:rightFromText="141" w:vertAnchor="text" w:horzAnchor="page" w:tblpX="2060" w:tblpY="341"/>
        <w:tblW w:w="0" w:type="auto"/>
        <w:tblBorders>
          <w:top w:val="single" w:sz="12" w:space="0" w:color="000000"/>
          <w:bottom w:val="single" w:sz="12" w:space="0" w:color="000000"/>
        </w:tblBorders>
        <w:tblLook w:val="01A0"/>
      </w:tblPr>
      <w:tblGrid>
        <w:gridCol w:w="2202"/>
        <w:gridCol w:w="830"/>
        <w:gridCol w:w="2746"/>
      </w:tblGrid>
      <w:tr w:rsidR="00246754" w:rsidRPr="00E43C41" w:rsidTr="004D7A37">
        <w:trPr>
          <w:trHeight w:val="20"/>
        </w:trPr>
        <w:tc>
          <w:tcPr>
            <w:tcW w:w="0" w:type="auto"/>
            <w:tcBorders>
              <w:top w:val="single" w:sz="12" w:space="0" w:color="000000"/>
              <w:bottom w:val="single" w:sz="12" w:space="0" w:color="000000"/>
              <w:right w:val="nil"/>
            </w:tcBorders>
            <w:shd w:val="clear" w:color="auto" w:fill="auto"/>
            <w:vAlign w:val="center"/>
          </w:tcPr>
          <w:p w:rsidR="00246754" w:rsidRPr="00E43C41" w:rsidRDefault="00246754" w:rsidP="004D7A37">
            <w:pPr>
              <w:jc w:val="center"/>
              <w:rPr>
                <w:i/>
                <w:iCs/>
              </w:rPr>
            </w:pPr>
            <w:bookmarkStart w:id="0" w:name="OLE_LINK1"/>
          </w:p>
        </w:tc>
        <w:tc>
          <w:tcPr>
            <w:tcW w:w="0" w:type="auto"/>
            <w:tcBorders>
              <w:top w:val="single" w:sz="12" w:space="0" w:color="000000"/>
              <w:left w:val="nil"/>
              <w:bottom w:val="single" w:sz="12" w:space="0" w:color="000000"/>
            </w:tcBorders>
            <w:shd w:val="clear" w:color="auto" w:fill="auto"/>
            <w:vAlign w:val="center"/>
          </w:tcPr>
          <w:p w:rsidR="00246754" w:rsidRPr="00625D9D" w:rsidRDefault="00246754" w:rsidP="004D7A37">
            <w:pPr>
              <w:jc w:val="center"/>
              <w:rPr>
                <w:iCs/>
              </w:rPr>
            </w:pPr>
            <w:r w:rsidRPr="00625D9D">
              <w:rPr>
                <w:iCs/>
              </w:rPr>
              <w:t>Média</w:t>
            </w:r>
          </w:p>
        </w:tc>
        <w:tc>
          <w:tcPr>
            <w:tcW w:w="2746" w:type="dxa"/>
            <w:tcBorders>
              <w:top w:val="single" w:sz="12" w:space="0" w:color="000000"/>
              <w:bottom w:val="single" w:sz="12" w:space="0" w:color="000000"/>
            </w:tcBorders>
            <w:shd w:val="clear" w:color="auto" w:fill="auto"/>
            <w:vAlign w:val="center"/>
          </w:tcPr>
          <w:p w:rsidR="00246754" w:rsidRPr="00E43C41" w:rsidRDefault="00246754" w:rsidP="004D7A37">
            <w:pPr>
              <w:jc w:val="center"/>
              <w:rPr>
                <w:i/>
                <w:iCs/>
              </w:rPr>
            </w:pPr>
            <w:r w:rsidRPr="00625D9D">
              <w:rPr>
                <w:iCs/>
              </w:rPr>
              <w:t>Alfa de</w:t>
            </w:r>
            <w:r w:rsidRPr="00E43C41">
              <w:rPr>
                <w:i/>
                <w:iCs/>
              </w:rPr>
              <w:t xml:space="preserve"> </w:t>
            </w:r>
            <w:r w:rsidRPr="006444FE">
              <w:rPr>
                <w:i/>
                <w:iCs/>
              </w:rPr>
              <w:t>Cronbach</w:t>
            </w:r>
          </w:p>
        </w:tc>
      </w:tr>
      <w:tr w:rsidR="00246754" w:rsidRPr="00E43C41" w:rsidTr="004D7A37">
        <w:trPr>
          <w:trHeight w:val="20"/>
        </w:trPr>
        <w:tc>
          <w:tcPr>
            <w:tcW w:w="0" w:type="auto"/>
            <w:tcBorders>
              <w:top w:val="single" w:sz="12" w:space="0" w:color="000000"/>
              <w:bottom w:val="nil"/>
              <w:right w:val="nil"/>
            </w:tcBorders>
            <w:shd w:val="clear" w:color="auto" w:fill="auto"/>
            <w:vAlign w:val="center"/>
          </w:tcPr>
          <w:p w:rsidR="00246754" w:rsidRPr="00E43C41" w:rsidRDefault="00246754" w:rsidP="004D7A37">
            <w:pPr>
              <w:jc w:val="center"/>
            </w:pPr>
            <w:r w:rsidRPr="00E43C41">
              <w:t>Formação do caráter</w:t>
            </w:r>
          </w:p>
        </w:tc>
        <w:tc>
          <w:tcPr>
            <w:tcW w:w="0" w:type="auto"/>
            <w:tcBorders>
              <w:top w:val="single" w:sz="12" w:space="0" w:color="000000"/>
              <w:left w:val="nil"/>
              <w:bottom w:val="nil"/>
            </w:tcBorders>
            <w:shd w:val="clear" w:color="auto" w:fill="auto"/>
            <w:vAlign w:val="center"/>
          </w:tcPr>
          <w:p w:rsidR="00246754" w:rsidRPr="00E43C41" w:rsidRDefault="00246754" w:rsidP="004D7A37">
            <w:pPr>
              <w:jc w:val="center"/>
            </w:pPr>
            <w:r w:rsidRPr="00E43C41">
              <w:t>8,43</w:t>
            </w:r>
          </w:p>
        </w:tc>
        <w:tc>
          <w:tcPr>
            <w:tcW w:w="2746" w:type="dxa"/>
            <w:tcBorders>
              <w:top w:val="single" w:sz="12" w:space="0" w:color="000000"/>
              <w:bottom w:val="nil"/>
            </w:tcBorders>
            <w:shd w:val="clear" w:color="auto" w:fill="auto"/>
            <w:vAlign w:val="center"/>
          </w:tcPr>
          <w:p w:rsidR="00246754" w:rsidRPr="00E43C41" w:rsidRDefault="00246754" w:rsidP="004D7A37">
            <w:pPr>
              <w:jc w:val="center"/>
            </w:pPr>
            <w:r w:rsidRPr="00E43C41">
              <w:t>0,770</w:t>
            </w:r>
          </w:p>
        </w:tc>
      </w:tr>
      <w:tr w:rsidR="00246754" w:rsidRPr="00E43C41" w:rsidTr="004D7A37">
        <w:trPr>
          <w:trHeight w:val="20"/>
        </w:trPr>
        <w:tc>
          <w:tcPr>
            <w:tcW w:w="0" w:type="auto"/>
            <w:tcBorders>
              <w:top w:val="nil"/>
              <w:bottom w:val="nil"/>
              <w:right w:val="nil"/>
            </w:tcBorders>
            <w:shd w:val="clear" w:color="auto" w:fill="auto"/>
            <w:vAlign w:val="center"/>
          </w:tcPr>
          <w:p w:rsidR="00246754" w:rsidRPr="00E43C41" w:rsidRDefault="00246754" w:rsidP="004D7A37">
            <w:pPr>
              <w:jc w:val="center"/>
            </w:pPr>
            <w:r w:rsidRPr="00E43C41">
              <w:t>Técnica para ensinar</w:t>
            </w:r>
          </w:p>
        </w:tc>
        <w:tc>
          <w:tcPr>
            <w:tcW w:w="0" w:type="auto"/>
            <w:tcBorders>
              <w:top w:val="nil"/>
              <w:left w:val="nil"/>
              <w:bottom w:val="nil"/>
            </w:tcBorders>
            <w:shd w:val="clear" w:color="auto" w:fill="auto"/>
            <w:vAlign w:val="center"/>
          </w:tcPr>
          <w:p w:rsidR="00246754" w:rsidRPr="00E43C41" w:rsidRDefault="00246754" w:rsidP="004D7A37">
            <w:pPr>
              <w:jc w:val="center"/>
            </w:pPr>
            <w:r w:rsidRPr="00E43C41">
              <w:t>8,34</w:t>
            </w:r>
          </w:p>
        </w:tc>
        <w:tc>
          <w:tcPr>
            <w:tcW w:w="2746" w:type="dxa"/>
            <w:tcBorders>
              <w:top w:val="nil"/>
              <w:bottom w:val="nil"/>
            </w:tcBorders>
            <w:shd w:val="clear" w:color="auto" w:fill="auto"/>
            <w:vAlign w:val="center"/>
          </w:tcPr>
          <w:p w:rsidR="00246754" w:rsidRPr="00E43C41" w:rsidRDefault="00246754" w:rsidP="004D7A37">
            <w:pPr>
              <w:jc w:val="center"/>
            </w:pPr>
            <w:r w:rsidRPr="00E43C41">
              <w:t>0,662</w:t>
            </w:r>
          </w:p>
        </w:tc>
      </w:tr>
      <w:tr w:rsidR="00246754" w:rsidRPr="00E43C41" w:rsidTr="004D7A37">
        <w:trPr>
          <w:trHeight w:val="20"/>
        </w:trPr>
        <w:tc>
          <w:tcPr>
            <w:tcW w:w="0" w:type="auto"/>
            <w:tcBorders>
              <w:top w:val="nil"/>
              <w:bottom w:val="nil"/>
              <w:right w:val="nil"/>
            </w:tcBorders>
            <w:shd w:val="clear" w:color="auto" w:fill="auto"/>
            <w:vAlign w:val="center"/>
          </w:tcPr>
          <w:p w:rsidR="00246754" w:rsidRPr="00E43C41" w:rsidRDefault="00246754" w:rsidP="004D7A37">
            <w:pPr>
              <w:jc w:val="center"/>
            </w:pPr>
            <w:r w:rsidRPr="00E43C41">
              <w:t>Estratégia de jogo</w:t>
            </w:r>
          </w:p>
        </w:tc>
        <w:tc>
          <w:tcPr>
            <w:tcW w:w="0" w:type="auto"/>
            <w:tcBorders>
              <w:top w:val="nil"/>
              <w:left w:val="nil"/>
              <w:bottom w:val="nil"/>
            </w:tcBorders>
            <w:shd w:val="clear" w:color="auto" w:fill="auto"/>
            <w:vAlign w:val="center"/>
          </w:tcPr>
          <w:p w:rsidR="00246754" w:rsidRPr="00E43C41" w:rsidRDefault="00246754" w:rsidP="004D7A37">
            <w:pPr>
              <w:jc w:val="center"/>
            </w:pPr>
            <w:r w:rsidRPr="00E43C41">
              <w:t>7,88</w:t>
            </w:r>
          </w:p>
        </w:tc>
        <w:tc>
          <w:tcPr>
            <w:tcW w:w="2746" w:type="dxa"/>
            <w:tcBorders>
              <w:top w:val="nil"/>
              <w:bottom w:val="nil"/>
            </w:tcBorders>
            <w:shd w:val="clear" w:color="auto" w:fill="auto"/>
            <w:vAlign w:val="center"/>
          </w:tcPr>
          <w:p w:rsidR="00246754" w:rsidRPr="00E43C41" w:rsidRDefault="00246754" w:rsidP="004D7A37">
            <w:pPr>
              <w:jc w:val="center"/>
            </w:pPr>
            <w:r w:rsidRPr="00E43C41">
              <w:t>0,845</w:t>
            </w:r>
          </w:p>
        </w:tc>
      </w:tr>
      <w:tr w:rsidR="00246754" w:rsidRPr="00E43C41" w:rsidTr="004D7A37">
        <w:trPr>
          <w:trHeight w:val="20"/>
        </w:trPr>
        <w:tc>
          <w:tcPr>
            <w:tcW w:w="0" w:type="auto"/>
            <w:tcBorders>
              <w:top w:val="nil"/>
              <w:bottom w:val="single" w:sz="4" w:space="0" w:color="auto"/>
              <w:right w:val="nil"/>
            </w:tcBorders>
            <w:shd w:val="clear" w:color="auto" w:fill="auto"/>
            <w:vAlign w:val="center"/>
          </w:tcPr>
          <w:p w:rsidR="00246754" w:rsidRPr="00E43C41" w:rsidRDefault="00246754" w:rsidP="004D7A37">
            <w:pPr>
              <w:jc w:val="center"/>
            </w:pPr>
            <w:r w:rsidRPr="00E43C41">
              <w:t>Motivação</w:t>
            </w:r>
          </w:p>
        </w:tc>
        <w:tc>
          <w:tcPr>
            <w:tcW w:w="0" w:type="auto"/>
            <w:tcBorders>
              <w:top w:val="nil"/>
              <w:left w:val="nil"/>
              <w:bottom w:val="single" w:sz="4" w:space="0" w:color="auto"/>
            </w:tcBorders>
            <w:shd w:val="clear" w:color="auto" w:fill="auto"/>
            <w:vAlign w:val="center"/>
          </w:tcPr>
          <w:p w:rsidR="00246754" w:rsidRPr="00E43C41" w:rsidRDefault="00246754" w:rsidP="004D7A37">
            <w:pPr>
              <w:jc w:val="center"/>
            </w:pPr>
            <w:r w:rsidRPr="00E43C41">
              <w:t>7,65</w:t>
            </w:r>
          </w:p>
        </w:tc>
        <w:tc>
          <w:tcPr>
            <w:tcW w:w="2746" w:type="dxa"/>
            <w:tcBorders>
              <w:top w:val="nil"/>
              <w:bottom w:val="single" w:sz="4" w:space="0" w:color="auto"/>
            </w:tcBorders>
            <w:shd w:val="clear" w:color="auto" w:fill="auto"/>
            <w:vAlign w:val="center"/>
          </w:tcPr>
          <w:p w:rsidR="00246754" w:rsidRPr="00E43C41" w:rsidRDefault="00246754" w:rsidP="004D7A37">
            <w:pPr>
              <w:jc w:val="center"/>
            </w:pPr>
            <w:r w:rsidRPr="00E43C41">
              <w:t>0,910</w:t>
            </w:r>
          </w:p>
        </w:tc>
      </w:tr>
      <w:tr w:rsidR="00246754" w:rsidRPr="00E43C41" w:rsidTr="004D7A37">
        <w:trPr>
          <w:trHeight w:val="20"/>
        </w:trPr>
        <w:tc>
          <w:tcPr>
            <w:tcW w:w="0" w:type="auto"/>
            <w:tcBorders>
              <w:top w:val="single" w:sz="4" w:space="0" w:color="auto"/>
              <w:bottom w:val="single" w:sz="12" w:space="0" w:color="000000"/>
              <w:right w:val="nil"/>
            </w:tcBorders>
            <w:shd w:val="clear" w:color="auto" w:fill="auto"/>
            <w:vAlign w:val="center"/>
          </w:tcPr>
          <w:p w:rsidR="00246754" w:rsidRPr="00E43C41" w:rsidRDefault="00246754" w:rsidP="004D7A37">
            <w:pPr>
              <w:jc w:val="center"/>
              <w:rPr>
                <w:b/>
              </w:rPr>
            </w:pPr>
            <w:r w:rsidRPr="00E43C41">
              <w:rPr>
                <w:b/>
              </w:rPr>
              <w:t>Total</w:t>
            </w:r>
          </w:p>
        </w:tc>
        <w:tc>
          <w:tcPr>
            <w:tcW w:w="0" w:type="auto"/>
            <w:tcBorders>
              <w:top w:val="single" w:sz="4" w:space="0" w:color="auto"/>
              <w:left w:val="nil"/>
              <w:bottom w:val="single" w:sz="12" w:space="0" w:color="000000"/>
            </w:tcBorders>
            <w:shd w:val="clear" w:color="auto" w:fill="auto"/>
            <w:vAlign w:val="center"/>
          </w:tcPr>
          <w:p w:rsidR="00246754" w:rsidRPr="00E43C41" w:rsidRDefault="00246754" w:rsidP="004D7A37">
            <w:pPr>
              <w:jc w:val="center"/>
              <w:rPr>
                <w:b/>
              </w:rPr>
            </w:pPr>
            <w:r w:rsidRPr="00E43C41">
              <w:rPr>
                <w:b/>
              </w:rPr>
              <w:t>8,07</w:t>
            </w:r>
          </w:p>
        </w:tc>
        <w:tc>
          <w:tcPr>
            <w:tcW w:w="2746" w:type="dxa"/>
            <w:tcBorders>
              <w:top w:val="single" w:sz="4" w:space="0" w:color="auto"/>
              <w:bottom w:val="single" w:sz="12" w:space="0" w:color="000000"/>
            </w:tcBorders>
            <w:shd w:val="clear" w:color="auto" w:fill="auto"/>
            <w:vAlign w:val="center"/>
          </w:tcPr>
          <w:p w:rsidR="00246754" w:rsidRPr="00E43C41" w:rsidRDefault="00246754" w:rsidP="004D7A37">
            <w:pPr>
              <w:jc w:val="center"/>
              <w:rPr>
                <w:b/>
              </w:rPr>
            </w:pPr>
            <w:r w:rsidRPr="00E43C41">
              <w:rPr>
                <w:b/>
              </w:rPr>
              <w:t>0,796</w:t>
            </w:r>
          </w:p>
        </w:tc>
      </w:tr>
      <w:bookmarkEnd w:id="0"/>
    </w:tbl>
    <w:p w:rsidR="0079520E" w:rsidRPr="00E43C41" w:rsidRDefault="0079520E" w:rsidP="0079520E">
      <w:pPr>
        <w:spacing w:line="360" w:lineRule="auto"/>
        <w:rPr>
          <w:b/>
        </w:rPr>
      </w:pPr>
    </w:p>
    <w:p w:rsidR="0079520E" w:rsidRPr="00E43C41" w:rsidRDefault="0079520E" w:rsidP="0079520E">
      <w:pPr>
        <w:spacing w:line="360" w:lineRule="auto"/>
        <w:rPr>
          <w:b/>
        </w:rPr>
      </w:pPr>
    </w:p>
    <w:p w:rsidR="00246754" w:rsidRDefault="00246754" w:rsidP="00E3487E">
      <w:pPr>
        <w:spacing w:line="360" w:lineRule="auto"/>
        <w:ind w:firstLine="709"/>
      </w:pPr>
    </w:p>
    <w:p w:rsidR="00246754" w:rsidRDefault="00246754" w:rsidP="00E3487E">
      <w:pPr>
        <w:spacing w:line="360" w:lineRule="auto"/>
        <w:ind w:firstLine="709"/>
      </w:pPr>
    </w:p>
    <w:p w:rsidR="00246754" w:rsidRDefault="00246754" w:rsidP="00E3487E">
      <w:pPr>
        <w:spacing w:line="360" w:lineRule="auto"/>
        <w:ind w:firstLine="709"/>
      </w:pPr>
    </w:p>
    <w:p w:rsidR="00246754" w:rsidRDefault="00246754" w:rsidP="00E3487E">
      <w:pPr>
        <w:spacing w:line="360" w:lineRule="auto"/>
        <w:ind w:firstLine="709"/>
      </w:pPr>
    </w:p>
    <w:p w:rsidR="0079520E" w:rsidRPr="00625D9D" w:rsidRDefault="0079520E" w:rsidP="00246754">
      <w:pPr>
        <w:spacing w:line="360" w:lineRule="auto"/>
      </w:pPr>
      <w:r w:rsidRPr="00625D9D">
        <w:t>Tabela 2: Média, Mínimo e Máximo d</w:t>
      </w:r>
      <w:r w:rsidR="00E3487E">
        <w:t>a</w:t>
      </w:r>
      <w:r w:rsidRPr="00625D9D">
        <w:t xml:space="preserve"> Dimensão da eficácia para a motivação.</w:t>
      </w:r>
    </w:p>
    <w:tbl>
      <w:tblPr>
        <w:tblW w:w="7308" w:type="dxa"/>
        <w:jc w:val="center"/>
        <w:tblBorders>
          <w:top w:val="single" w:sz="12" w:space="0" w:color="000000"/>
          <w:bottom w:val="single" w:sz="12" w:space="0" w:color="000000"/>
          <w:insideH w:val="single" w:sz="6" w:space="0" w:color="000000"/>
        </w:tblBorders>
        <w:tblLook w:val="01A0"/>
      </w:tblPr>
      <w:tblGrid>
        <w:gridCol w:w="3888"/>
        <w:gridCol w:w="1080"/>
        <w:gridCol w:w="1080"/>
        <w:gridCol w:w="1260"/>
      </w:tblGrid>
      <w:tr w:rsidR="0079520E" w:rsidRPr="00E43C41" w:rsidTr="00505159">
        <w:trPr>
          <w:jc w:val="center"/>
        </w:trPr>
        <w:tc>
          <w:tcPr>
            <w:tcW w:w="3888" w:type="dxa"/>
            <w:tcBorders>
              <w:top w:val="single" w:sz="12" w:space="0" w:color="000000"/>
              <w:bottom w:val="single" w:sz="12" w:space="0" w:color="000000"/>
            </w:tcBorders>
            <w:shd w:val="clear" w:color="auto" w:fill="auto"/>
            <w:vAlign w:val="center"/>
          </w:tcPr>
          <w:p w:rsidR="0079520E" w:rsidRPr="00E43C41" w:rsidRDefault="0079520E" w:rsidP="00505159">
            <w:pPr>
              <w:jc w:val="center"/>
              <w:rPr>
                <w:b/>
                <w:bCs/>
              </w:rPr>
            </w:pPr>
            <w:bookmarkStart w:id="1" w:name="OLE_LINK2"/>
          </w:p>
        </w:tc>
        <w:tc>
          <w:tcPr>
            <w:tcW w:w="1080" w:type="dxa"/>
            <w:tcBorders>
              <w:top w:val="single" w:sz="12" w:space="0" w:color="000000"/>
              <w:bottom w:val="single" w:sz="12" w:space="0" w:color="000000"/>
            </w:tcBorders>
            <w:shd w:val="clear" w:color="auto" w:fill="auto"/>
            <w:vAlign w:val="center"/>
          </w:tcPr>
          <w:p w:rsidR="0079520E" w:rsidRPr="00625D9D" w:rsidRDefault="0079520E" w:rsidP="00505159">
            <w:pPr>
              <w:jc w:val="center"/>
              <w:rPr>
                <w:bCs/>
              </w:rPr>
            </w:pPr>
            <w:r w:rsidRPr="00625D9D">
              <w:rPr>
                <w:bCs/>
              </w:rPr>
              <w:t>Média</w:t>
            </w:r>
          </w:p>
        </w:tc>
        <w:tc>
          <w:tcPr>
            <w:tcW w:w="1080" w:type="dxa"/>
            <w:tcBorders>
              <w:top w:val="single" w:sz="12" w:space="0" w:color="000000"/>
              <w:bottom w:val="single" w:sz="12" w:space="0" w:color="000000"/>
            </w:tcBorders>
            <w:shd w:val="clear" w:color="auto" w:fill="auto"/>
            <w:vAlign w:val="center"/>
          </w:tcPr>
          <w:p w:rsidR="0079520E" w:rsidRPr="00625D9D" w:rsidRDefault="0079520E" w:rsidP="00505159">
            <w:pPr>
              <w:jc w:val="center"/>
              <w:rPr>
                <w:bCs/>
              </w:rPr>
            </w:pPr>
            <w:r w:rsidRPr="00625D9D">
              <w:rPr>
                <w:bCs/>
              </w:rPr>
              <w:t>Mínimo</w:t>
            </w:r>
          </w:p>
        </w:tc>
        <w:tc>
          <w:tcPr>
            <w:tcW w:w="1260" w:type="dxa"/>
            <w:tcBorders>
              <w:top w:val="single" w:sz="12" w:space="0" w:color="000000"/>
              <w:bottom w:val="single" w:sz="12" w:space="0" w:color="000000"/>
            </w:tcBorders>
            <w:shd w:val="clear" w:color="auto" w:fill="auto"/>
            <w:vAlign w:val="center"/>
          </w:tcPr>
          <w:p w:rsidR="0079520E" w:rsidRPr="00625D9D" w:rsidRDefault="0079520E" w:rsidP="00505159">
            <w:pPr>
              <w:jc w:val="center"/>
              <w:rPr>
                <w:bCs/>
              </w:rPr>
            </w:pPr>
            <w:r w:rsidRPr="00625D9D">
              <w:rPr>
                <w:bCs/>
              </w:rPr>
              <w:t>Máximo</w:t>
            </w:r>
          </w:p>
        </w:tc>
      </w:tr>
      <w:tr w:rsidR="0079520E" w:rsidRPr="00E43C41" w:rsidTr="00505159">
        <w:trPr>
          <w:jc w:val="center"/>
        </w:trPr>
        <w:tc>
          <w:tcPr>
            <w:tcW w:w="3888" w:type="dxa"/>
            <w:tcBorders>
              <w:bottom w:val="nil"/>
            </w:tcBorders>
            <w:shd w:val="clear" w:color="auto" w:fill="auto"/>
            <w:vAlign w:val="center"/>
          </w:tcPr>
          <w:p w:rsidR="0079520E" w:rsidRPr="00E43C41" w:rsidRDefault="0079520E" w:rsidP="00505159">
            <w:r w:rsidRPr="00E43C41">
              <w:t>Manter a confiança nos seus atletas;</w:t>
            </w:r>
          </w:p>
        </w:tc>
        <w:tc>
          <w:tcPr>
            <w:tcW w:w="1080" w:type="dxa"/>
            <w:tcBorders>
              <w:bottom w:val="nil"/>
            </w:tcBorders>
            <w:shd w:val="clear" w:color="auto" w:fill="auto"/>
            <w:vAlign w:val="center"/>
          </w:tcPr>
          <w:p w:rsidR="0079520E" w:rsidRPr="00E43C41" w:rsidRDefault="0079520E" w:rsidP="00505159">
            <w:pPr>
              <w:jc w:val="center"/>
            </w:pPr>
            <w:r w:rsidRPr="00E43C41">
              <w:t>7,19</w:t>
            </w:r>
          </w:p>
        </w:tc>
        <w:tc>
          <w:tcPr>
            <w:tcW w:w="1080" w:type="dxa"/>
            <w:tcBorders>
              <w:bottom w:val="nil"/>
            </w:tcBorders>
            <w:shd w:val="clear" w:color="auto" w:fill="auto"/>
            <w:vAlign w:val="center"/>
          </w:tcPr>
          <w:p w:rsidR="0079520E" w:rsidRPr="00E43C41" w:rsidRDefault="0079520E" w:rsidP="00505159">
            <w:pPr>
              <w:jc w:val="center"/>
            </w:pPr>
            <w:r w:rsidRPr="00E43C41">
              <w:t>4,0</w:t>
            </w:r>
          </w:p>
        </w:tc>
        <w:tc>
          <w:tcPr>
            <w:tcW w:w="1260" w:type="dxa"/>
            <w:tcBorders>
              <w:bottom w:val="nil"/>
            </w:tcBorders>
            <w:shd w:val="clear" w:color="auto" w:fill="auto"/>
            <w:vAlign w:val="center"/>
          </w:tcPr>
          <w:p w:rsidR="0079520E" w:rsidRPr="00E43C41" w:rsidRDefault="0079520E" w:rsidP="00505159">
            <w:pPr>
              <w:jc w:val="center"/>
            </w:pPr>
            <w:r w:rsidRPr="00E43C41">
              <w:t>9,0</w:t>
            </w:r>
          </w:p>
        </w:tc>
      </w:tr>
      <w:tr w:rsidR="0079520E" w:rsidRPr="00E43C41" w:rsidTr="00505159">
        <w:trPr>
          <w:jc w:val="center"/>
        </w:trPr>
        <w:tc>
          <w:tcPr>
            <w:tcW w:w="3888" w:type="dxa"/>
            <w:tcBorders>
              <w:top w:val="nil"/>
              <w:bottom w:val="nil"/>
            </w:tcBorders>
            <w:shd w:val="clear" w:color="auto" w:fill="auto"/>
            <w:vAlign w:val="center"/>
          </w:tcPr>
          <w:p w:rsidR="0079520E" w:rsidRPr="00E43C41" w:rsidRDefault="0079520E" w:rsidP="006F56CE">
            <w:r w:rsidRPr="00E43C41">
              <w:t xml:space="preserve">Reconhecer os pontos fortes do time </w:t>
            </w:r>
            <w:r w:rsidR="00625D9D">
              <w:t>a</w:t>
            </w:r>
            <w:r w:rsidRPr="00E43C41">
              <w:t>dversário durante a competição</w:t>
            </w:r>
          </w:p>
        </w:tc>
        <w:tc>
          <w:tcPr>
            <w:tcW w:w="1080" w:type="dxa"/>
            <w:tcBorders>
              <w:top w:val="nil"/>
              <w:bottom w:val="nil"/>
            </w:tcBorders>
            <w:shd w:val="clear" w:color="auto" w:fill="auto"/>
            <w:vAlign w:val="center"/>
          </w:tcPr>
          <w:p w:rsidR="0079520E" w:rsidRPr="00E43C41" w:rsidRDefault="0079520E" w:rsidP="00505159">
            <w:pPr>
              <w:jc w:val="center"/>
            </w:pPr>
            <w:r w:rsidRPr="00E43C41">
              <w:t>7,44</w:t>
            </w:r>
          </w:p>
        </w:tc>
        <w:tc>
          <w:tcPr>
            <w:tcW w:w="1080" w:type="dxa"/>
            <w:tcBorders>
              <w:top w:val="nil"/>
              <w:bottom w:val="nil"/>
            </w:tcBorders>
            <w:shd w:val="clear" w:color="auto" w:fill="auto"/>
            <w:vAlign w:val="center"/>
          </w:tcPr>
          <w:p w:rsidR="0079520E" w:rsidRPr="00E43C41" w:rsidRDefault="0079520E" w:rsidP="00505159">
            <w:pPr>
              <w:jc w:val="center"/>
            </w:pPr>
            <w:r w:rsidRPr="00E43C41">
              <w:t>4,0</w:t>
            </w:r>
          </w:p>
        </w:tc>
        <w:tc>
          <w:tcPr>
            <w:tcW w:w="1260" w:type="dxa"/>
            <w:tcBorders>
              <w:top w:val="nil"/>
              <w:bottom w:val="nil"/>
            </w:tcBorders>
            <w:shd w:val="clear" w:color="auto" w:fill="auto"/>
            <w:vAlign w:val="center"/>
          </w:tcPr>
          <w:p w:rsidR="0079520E" w:rsidRPr="00E43C41" w:rsidRDefault="0079520E" w:rsidP="00505159">
            <w:pPr>
              <w:jc w:val="center"/>
            </w:pPr>
            <w:r w:rsidRPr="00E43C41">
              <w:t>9,0</w:t>
            </w:r>
          </w:p>
        </w:tc>
      </w:tr>
      <w:tr w:rsidR="0079520E" w:rsidRPr="00E43C41" w:rsidTr="00505159">
        <w:trPr>
          <w:jc w:val="center"/>
        </w:trPr>
        <w:tc>
          <w:tcPr>
            <w:tcW w:w="3888" w:type="dxa"/>
            <w:tcBorders>
              <w:top w:val="nil"/>
              <w:bottom w:val="nil"/>
            </w:tcBorders>
            <w:shd w:val="clear" w:color="auto" w:fill="auto"/>
            <w:vAlign w:val="center"/>
          </w:tcPr>
          <w:p w:rsidR="0079520E" w:rsidRPr="00E43C41" w:rsidRDefault="0079520E" w:rsidP="00505159">
            <w:r w:rsidRPr="00E43C41">
              <w:t>Preparar os atletas mentalmente par</w:t>
            </w:r>
            <w:r w:rsidR="006F56CE">
              <w:t>a o jogo/ encontrar estratégias</w:t>
            </w:r>
          </w:p>
        </w:tc>
        <w:tc>
          <w:tcPr>
            <w:tcW w:w="1080" w:type="dxa"/>
            <w:tcBorders>
              <w:top w:val="nil"/>
              <w:bottom w:val="nil"/>
            </w:tcBorders>
            <w:shd w:val="clear" w:color="auto" w:fill="auto"/>
            <w:vAlign w:val="center"/>
          </w:tcPr>
          <w:p w:rsidR="0079520E" w:rsidRPr="00E43C41" w:rsidRDefault="0079520E" w:rsidP="00505159">
            <w:pPr>
              <w:jc w:val="center"/>
            </w:pPr>
            <w:r w:rsidRPr="00E43C41">
              <w:t>7,19</w:t>
            </w:r>
          </w:p>
        </w:tc>
        <w:tc>
          <w:tcPr>
            <w:tcW w:w="1080" w:type="dxa"/>
            <w:tcBorders>
              <w:top w:val="nil"/>
              <w:bottom w:val="nil"/>
            </w:tcBorders>
            <w:shd w:val="clear" w:color="auto" w:fill="auto"/>
            <w:vAlign w:val="center"/>
          </w:tcPr>
          <w:p w:rsidR="0079520E" w:rsidRPr="00E43C41" w:rsidRDefault="0079520E" w:rsidP="00505159">
            <w:pPr>
              <w:jc w:val="center"/>
            </w:pPr>
            <w:r w:rsidRPr="00E43C41">
              <w:t>3,0</w:t>
            </w:r>
          </w:p>
        </w:tc>
        <w:tc>
          <w:tcPr>
            <w:tcW w:w="1260" w:type="dxa"/>
            <w:tcBorders>
              <w:top w:val="nil"/>
              <w:bottom w:val="nil"/>
            </w:tcBorders>
            <w:shd w:val="clear" w:color="auto" w:fill="auto"/>
            <w:vAlign w:val="center"/>
          </w:tcPr>
          <w:p w:rsidR="0079520E" w:rsidRPr="00E43C41" w:rsidRDefault="0079520E" w:rsidP="00505159">
            <w:pPr>
              <w:jc w:val="center"/>
            </w:pPr>
            <w:r w:rsidRPr="00E43C41">
              <w:t>9,0</w:t>
            </w:r>
          </w:p>
        </w:tc>
      </w:tr>
      <w:tr w:rsidR="0079520E" w:rsidRPr="00E43C41" w:rsidTr="00505159">
        <w:trPr>
          <w:jc w:val="center"/>
        </w:trPr>
        <w:tc>
          <w:tcPr>
            <w:tcW w:w="3888" w:type="dxa"/>
            <w:tcBorders>
              <w:top w:val="nil"/>
              <w:bottom w:val="nil"/>
            </w:tcBorders>
            <w:shd w:val="clear" w:color="auto" w:fill="auto"/>
            <w:vAlign w:val="center"/>
          </w:tcPr>
          <w:p w:rsidR="0079520E" w:rsidRPr="00E43C41" w:rsidRDefault="0079520E" w:rsidP="00505159">
            <w:r w:rsidRPr="00E43C41">
              <w:t>Construi</w:t>
            </w:r>
            <w:r w:rsidR="006F56CE">
              <w:t>r a autoestima dos seus atletas</w:t>
            </w:r>
          </w:p>
        </w:tc>
        <w:tc>
          <w:tcPr>
            <w:tcW w:w="1080" w:type="dxa"/>
            <w:tcBorders>
              <w:top w:val="nil"/>
              <w:bottom w:val="nil"/>
            </w:tcBorders>
            <w:shd w:val="clear" w:color="auto" w:fill="auto"/>
            <w:vAlign w:val="center"/>
          </w:tcPr>
          <w:p w:rsidR="0079520E" w:rsidRPr="00E43C41" w:rsidRDefault="0079520E" w:rsidP="00505159">
            <w:pPr>
              <w:jc w:val="center"/>
            </w:pPr>
            <w:r w:rsidRPr="00E43C41">
              <w:t>7,91</w:t>
            </w:r>
          </w:p>
        </w:tc>
        <w:tc>
          <w:tcPr>
            <w:tcW w:w="1080" w:type="dxa"/>
            <w:tcBorders>
              <w:top w:val="nil"/>
              <w:bottom w:val="nil"/>
            </w:tcBorders>
            <w:shd w:val="clear" w:color="auto" w:fill="auto"/>
            <w:vAlign w:val="center"/>
          </w:tcPr>
          <w:p w:rsidR="0079520E" w:rsidRPr="00E43C41" w:rsidRDefault="0079520E" w:rsidP="00505159">
            <w:pPr>
              <w:jc w:val="center"/>
            </w:pPr>
            <w:r w:rsidRPr="00E43C41">
              <w:t>6,0</w:t>
            </w:r>
          </w:p>
        </w:tc>
        <w:tc>
          <w:tcPr>
            <w:tcW w:w="1260" w:type="dxa"/>
            <w:tcBorders>
              <w:top w:val="nil"/>
              <w:bottom w:val="nil"/>
            </w:tcBorders>
            <w:shd w:val="clear" w:color="auto" w:fill="auto"/>
            <w:vAlign w:val="center"/>
          </w:tcPr>
          <w:p w:rsidR="0079520E" w:rsidRPr="00E43C41" w:rsidRDefault="0079520E" w:rsidP="00505159">
            <w:pPr>
              <w:jc w:val="center"/>
            </w:pPr>
            <w:r w:rsidRPr="00E43C41">
              <w:t>9,0</w:t>
            </w:r>
          </w:p>
        </w:tc>
      </w:tr>
      <w:tr w:rsidR="0079520E" w:rsidRPr="00E43C41" w:rsidTr="00505159">
        <w:trPr>
          <w:jc w:val="center"/>
        </w:trPr>
        <w:tc>
          <w:tcPr>
            <w:tcW w:w="3888" w:type="dxa"/>
            <w:tcBorders>
              <w:top w:val="nil"/>
              <w:bottom w:val="nil"/>
            </w:tcBorders>
            <w:shd w:val="clear" w:color="auto" w:fill="auto"/>
            <w:vAlign w:val="center"/>
          </w:tcPr>
          <w:p w:rsidR="0079520E" w:rsidRPr="00E43C41" w:rsidRDefault="0079520E" w:rsidP="00505159">
            <w:r w:rsidRPr="00E43C41">
              <w:t xml:space="preserve">Reconhecer os pontos fracos do time </w:t>
            </w:r>
            <w:r w:rsidR="006F56CE">
              <w:t>adversário durante a competição</w:t>
            </w:r>
          </w:p>
        </w:tc>
        <w:tc>
          <w:tcPr>
            <w:tcW w:w="1080" w:type="dxa"/>
            <w:tcBorders>
              <w:top w:val="nil"/>
              <w:bottom w:val="nil"/>
            </w:tcBorders>
            <w:shd w:val="clear" w:color="auto" w:fill="auto"/>
            <w:vAlign w:val="center"/>
          </w:tcPr>
          <w:p w:rsidR="0079520E" w:rsidRPr="00E43C41" w:rsidRDefault="0079520E" w:rsidP="00505159">
            <w:pPr>
              <w:jc w:val="center"/>
            </w:pPr>
            <w:r w:rsidRPr="00E43C41">
              <w:t>8,05</w:t>
            </w:r>
          </w:p>
        </w:tc>
        <w:tc>
          <w:tcPr>
            <w:tcW w:w="1080" w:type="dxa"/>
            <w:tcBorders>
              <w:top w:val="nil"/>
              <w:bottom w:val="nil"/>
            </w:tcBorders>
            <w:shd w:val="clear" w:color="auto" w:fill="auto"/>
            <w:vAlign w:val="center"/>
          </w:tcPr>
          <w:p w:rsidR="0079520E" w:rsidRPr="00E43C41" w:rsidRDefault="0079520E" w:rsidP="00505159">
            <w:pPr>
              <w:jc w:val="center"/>
            </w:pPr>
            <w:r w:rsidRPr="00E43C41">
              <w:t>4,0</w:t>
            </w:r>
          </w:p>
        </w:tc>
        <w:tc>
          <w:tcPr>
            <w:tcW w:w="1260" w:type="dxa"/>
            <w:tcBorders>
              <w:top w:val="nil"/>
              <w:bottom w:val="nil"/>
            </w:tcBorders>
            <w:shd w:val="clear" w:color="auto" w:fill="auto"/>
            <w:vAlign w:val="center"/>
          </w:tcPr>
          <w:p w:rsidR="0079520E" w:rsidRPr="00E43C41" w:rsidRDefault="0079520E" w:rsidP="00505159">
            <w:pPr>
              <w:jc w:val="center"/>
            </w:pPr>
            <w:r w:rsidRPr="00E43C41">
              <w:t>9,0</w:t>
            </w:r>
          </w:p>
        </w:tc>
      </w:tr>
      <w:tr w:rsidR="0079520E" w:rsidRPr="00E43C41" w:rsidTr="00505159">
        <w:trPr>
          <w:jc w:val="center"/>
        </w:trPr>
        <w:tc>
          <w:tcPr>
            <w:tcW w:w="3888" w:type="dxa"/>
            <w:tcBorders>
              <w:top w:val="nil"/>
              <w:bottom w:val="nil"/>
            </w:tcBorders>
            <w:shd w:val="clear" w:color="auto" w:fill="auto"/>
            <w:vAlign w:val="center"/>
          </w:tcPr>
          <w:p w:rsidR="0079520E" w:rsidRPr="00E43C41" w:rsidRDefault="0079520E" w:rsidP="00505159">
            <w:r w:rsidRPr="00E43C41">
              <w:t>Construir a</w:t>
            </w:r>
            <w:r w:rsidR="006F56CE">
              <w:t xml:space="preserve"> autoconfiança dos seus atletas</w:t>
            </w:r>
          </w:p>
        </w:tc>
        <w:tc>
          <w:tcPr>
            <w:tcW w:w="1080" w:type="dxa"/>
            <w:tcBorders>
              <w:top w:val="nil"/>
              <w:bottom w:val="nil"/>
            </w:tcBorders>
            <w:shd w:val="clear" w:color="auto" w:fill="auto"/>
            <w:vAlign w:val="center"/>
          </w:tcPr>
          <w:p w:rsidR="0079520E" w:rsidRPr="00E43C41" w:rsidRDefault="0079520E" w:rsidP="00505159">
            <w:pPr>
              <w:jc w:val="center"/>
            </w:pPr>
            <w:r w:rsidRPr="00E43C41">
              <w:t>7,83</w:t>
            </w:r>
          </w:p>
        </w:tc>
        <w:tc>
          <w:tcPr>
            <w:tcW w:w="1080" w:type="dxa"/>
            <w:tcBorders>
              <w:top w:val="nil"/>
              <w:bottom w:val="nil"/>
            </w:tcBorders>
            <w:shd w:val="clear" w:color="auto" w:fill="auto"/>
            <w:vAlign w:val="center"/>
          </w:tcPr>
          <w:p w:rsidR="0079520E" w:rsidRPr="00E43C41" w:rsidRDefault="0079520E" w:rsidP="00505159">
            <w:pPr>
              <w:jc w:val="center"/>
            </w:pPr>
            <w:r w:rsidRPr="00E43C41">
              <w:t>5,0</w:t>
            </w:r>
          </w:p>
        </w:tc>
        <w:tc>
          <w:tcPr>
            <w:tcW w:w="1260" w:type="dxa"/>
            <w:tcBorders>
              <w:top w:val="nil"/>
              <w:bottom w:val="nil"/>
            </w:tcBorders>
            <w:shd w:val="clear" w:color="auto" w:fill="auto"/>
            <w:vAlign w:val="center"/>
          </w:tcPr>
          <w:p w:rsidR="0079520E" w:rsidRPr="00E43C41" w:rsidRDefault="0079520E" w:rsidP="00505159">
            <w:pPr>
              <w:jc w:val="center"/>
            </w:pPr>
            <w:r w:rsidRPr="00E43C41">
              <w:t>9,0</w:t>
            </w:r>
          </w:p>
        </w:tc>
      </w:tr>
      <w:tr w:rsidR="0079520E" w:rsidRPr="00E43C41" w:rsidTr="00505159">
        <w:trPr>
          <w:jc w:val="center"/>
        </w:trPr>
        <w:tc>
          <w:tcPr>
            <w:tcW w:w="3888" w:type="dxa"/>
            <w:tcBorders>
              <w:top w:val="nil"/>
              <w:bottom w:val="nil"/>
            </w:tcBorders>
            <w:shd w:val="clear" w:color="auto" w:fill="auto"/>
            <w:vAlign w:val="center"/>
          </w:tcPr>
          <w:p w:rsidR="0079520E" w:rsidRPr="00E43C41" w:rsidRDefault="0079520E" w:rsidP="00505159">
            <w:r w:rsidRPr="00E43C41">
              <w:t>Maximizar a força d</w:t>
            </w:r>
            <w:r w:rsidR="006F56CE">
              <w:t>o seu time durante a competição</w:t>
            </w:r>
          </w:p>
        </w:tc>
        <w:tc>
          <w:tcPr>
            <w:tcW w:w="1080" w:type="dxa"/>
            <w:tcBorders>
              <w:top w:val="nil"/>
              <w:bottom w:val="nil"/>
            </w:tcBorders>
            <w:shd w:val="clear" w:color="auto" w:fill="auto"/>
            <w:vAlign w:val="center"/>
          </w:tcPr>
          <w:p w:rsidR="0079520E" w:rsidRPr="00E43C41" w:rsidRDefault="0079520E" w:rsidP="00505159">
            <w:pPr>
              <w:jc w:val="center"/>
            </w:pPr>
            <w:r w:rsidRPr="00E43C41">
              <w:t>7,55</w:t>
            </w:r>
          </w:p>
        </w:tc>
        <w:tc>
          <w:tcPr>
            <w:tcW w:w="1080" w:type="dxa"/>
            <w:tcBorders>
              <w:top w:val="nil"/>
              <w:bottom w:val="nil"/>
            </w:tcBorders>
            <w:shd w:val="clear" w:color="auto" w:fill="auto"/>
            <w:vAlign w:val="center"/>
          </w:tcPr>
          <w:p w:rsidR="0079520E" w:rsidRPr="00E43C41" w:rsidRDefault="0079520E" w:rsidP="00505159">
            <w:pPr>
              <w:jc w:val="center"/>
            </w:pPr>
            <w:r w:rsidRPr="00E43C41">
              <w:t>4,0</w:t>
            </w:r>
          </w:p>
        </w:tc>
        <w:tc>
          <w:tcPr>
            <w:tcW w:w="1260" w:type="dxa"/>
            <w:tcBorders>
              <w:top w:val="nil"/>
              <w:bottom w:val="nil"/>
            </w:tcBorders>
            <w:shd w:val="clear" w:color="auto" w:fill="auto"/>
            <w:vAlign w:val="center"/>
          </w:tcPr>
          <w:p w:rsidR="0079520E" w:rsidRPr="00E43C41" w:rsidRDefault="0079520E" w:rsidP="00505159">
            <w:pPr>
              <w:jc w:val="center"/>
            </w:pPr>
            <w:r w:rsidRPr="00E43C41">
              <w:t>9,0</w:t>
            </w:r>
          </w:p>
        </w:tc>
      </w:tr>
      <w:tr w:rsidR="0079520E" w:rsidRPr="00E43C41" w:rsidTr="00505159">
        <w:trPr>
          <w:jc w:val="center"/>
        </w:trPr>
        <w:tc>
          <w:tcPr>
            <w:tcW w:w="3888" w:type="dxa"/>
            <w:tcBorders>
              <w:top w:val="nil"/>
              <w:bottom w:val="nil"/>
            </w:tcBorders>
            <w:shd w:val="clear" w:color="auto" w:fill="auto"/>
            <w:vAlign w:val="center"/>
          </w:tcPr>
          <w:p w:rsidR="0079520E" w:rsidRPr="00E43C41" w:rsidRDefault="0079520E" w:rsidP="00505159">
            <w:r w:rsidRPr="00E43C41">
              <w:t>Ajustar a sua estratégia</w:t>
            </w:r>
            <w:r w:rsidR="006F56CE">
              <w:t xml:space="preserve"> de jogo ao talento do seu time</w:t>
            </w:r>
          </w:p>
        </w:tc>
        <w:tc>
          <w:tcPr>
            <w:tcW w:w="1080" w:type="dxa"/>
            <w:tcBorders>
              <w:top w:val="nil"/>
              <w:bottom w:val="nil"/>
            </w:tcBorders>
            <w:shd w:val="clear" w:color="auto" w:fill="auto"/>
            <w:vAlign w:val="center"/>
          </w:tcPr>
          <w:p w:rsidR="0079520E" w:rsidRPr="00E43C41" w:rsidRDefault="0079520E" w:rsidP="00505159">
            <w:pPr>
              <w:jc w:val="center"/>
            </w:pPr>
            <w:r w:rsidRPr="00E43C41">
              <w:t>7,52</w:t>
            </w:r>
          </w:p>
        </w:tc>
        <w:tc>
          <w:tcPr>
            <w:tcW w:w="1080" w:type="dxa"/>
            <w:tcBorders>
              <w:top w:val="nil"/>
              <w:bottom w:val="nil"/>
            </w:tcBorders>
            <w:shd w:val="clear" w:color="auto" w:fill="auto"/>
            <w:vAlign w:val="center"/>
          </w:tcPr>
          <w:p w:rsidR="0079520E" w:rsidRPr="00E43C41" w:rsidRDefault="0079520E" w:rsidP="00505159">
            <w:pPr>
              <w:jc w:val="center"/>
            </w:pPr>
            <w:r w:rsidRPr="00E43C41">
              <w:t>3,0</w:t>
            </w:r>
          </w:p>
        </w:tc>
        <w:tc>
          <w:tcPr>
            <w:tcW w:w="1260" w:type="dxa"/>
            <w:tcBorders>
              <w:top w:val="nil"/>
              <w:bottom w:val="nil"/>
            </w:tcBorders>
            <w:shd w:val="clear" w:color="auto" w:fill="auto"/>
            <w:vAlign w:val="center"/>
          </w:tcPr>
          <w:p w:rsidR="0079520E" w:rsidRPr="00E43C41" w:rsidRDefault="0079520E" w:rsidP="00505159">
            <w:pPr>
              <w:jc w:val="center"/>
            </w:pPr>
            <w:r w:rsidRPr="00E43C41">
              <w:t>9,0</w:t>
            </w:r>
          </w:p>
        </w:tc>
      </w:tr>
      <w:tr w:rsidR="0079520E" w:rsidRPr="00E43C41" w:rsidTr="00505159">
        <w:trPr>
          <w:jc w:val="center"/>
        </w:trPr>
        <w:tc>
          <w:tcPr>
            <w:tcW w:w="3888" w:type="dxa"/>
            <w:tcBorders>
              <w:top w:val="nil"/>
            </w:tcBorders>
            <w:shd w:val="clear" w:color="auto" w:fill="auto"/>
            <w:vAlign w:val="center"/>
          </w:tcPr>
          <w:p w:rsidR="0079520E" w:rsidRPr="00E43C41" w:rsidRDefault="0079520E" w:rsidP="006F56CE">
            <w:r w:rsidRPr="00E43C41">
              <w:t>Construir a confiança do time</w:t>
            </w:r>
          </w:p>
        </w:tc>
        <w:tc>
          <w:tcPr>
            <w:tcW w:w="1080" w:type="dxa"/>
            <w:tcBorders>
              <w:top w:val="nil"/>
            </w:tcBorders>
            <w:shd w:val="clear" w:color="auto" w:fill="auto"/>
            <w:vAlign w:val="center"/>
          </w:tcPr>
          <w:p w:rsidR="0079520E" w:rsidRPr="00E43C41" w:rsidRDefault="0079520E" w:rsidP="00505159">
            <w:pPr>
              <w:jc w:val="center"/>
            </w:pPr>
            <w:r w:rsidRPr="00E43C41">
              <w:t>8,05</w:t>
            </w:r>
          </w:p>
        </w:tc>
        <w:tc>
          <w:tcPr>
            <w:tcW w:w="1080" w:type="dxa"/>
            <w:tcBorders>
              <w:top w:val="nil"/>
            </w:tcBorders>
            <w:shd w:val="clear" w:color="auto" w:fill="auto"/>
            <w:vAlign w:val="center"/>
          </w:tcPr>
          <w:p w:rsidR="0079520E" w:rsidRPr="00E43C41" w:rsidRDefault="0079520E" w:rsidP="00505159">
            <w:pPr>
              <w:jc w:val="center"/>
            </w:pPr>
            <w:r w:rsidRPr="00E43C41">
              <w:t>6,0</w:t>
            </w:r>
          </w:p>
        </w:tc>
        <w:tc>
          <w:tcPr>
            <w:tcW w:w="1260" w:type="dxa"/>
            <w:tcBorders>
              <w:top w:val="nil"/>
            </w:tcBorders>
            <w:shd w:val="clear" w:color="auto" w:fill="auto"/>
            <w:vAlign w:val="center"/>
          </w:tcPr>
          <w:p w:rsidR="0079520E" w:rsidRPr="00E43C41" w:rsidRDefault="0079520E" w:rsidP="00505159">
            <w:pPr>
              <w:jc w:val="center"/>
            </w:pPr>
            <w:r w:rsidRPr="00E43C41">
              <w:t>9,0</w:t>
            </w:r>
          </w:p>
        </w:tc>
      </w:tr>
      <w:tr w:rsidR="0079520E" w:rsidRPr="00E43C41" w:rsidTr="00505159">
        <w:trPr>
          <w:jc w:val="center"/>
        </w:trPr>
        <w:tc>
          <w:tcPr>
            <w:tcW w:w="3888" w:type="dxa"/>
            <w:tcBorders>
              <w:bottom w:val="single" w:sz="12" w:space="0" w:color="000000"/>
            </w:tcBorders>
            <w:shd w:val="clear" w:color="auto" w:fill="auto"/>
            <w:vAlign w:val="center"/>
          </w:tcPr>
          <w:p w:rsidR="0079520E" w:rsidRPr="00E43C41" w:rsidRDefault="0079520E" w:rsidP="00C935F4">
            <w:pPr>
              <w:jc w:val="center"/>
              <w:rPr>
                <w:b/>
              </w:rPr>
            </w:pPr>
            <w:r w:rsidRPr="00E43C41">
              <w:rPr>
                <w:b/>
              </w:rPr>
              <w:t>T</w:t>
            </w:r>
            <w:r w:rsidR="00C935F4">
              <w:rPr>
                <w:b/>
              </w:rPr>
              <w:t>otal</w:t>
            </w:r>
          </w:p>
        </w:tc>
        <w:tc>
          <w:tcPr>
            <w:tcW w:w="1080" w:type="dxa"/>
            <w:tcBorders>
              <w:bottom w:val="single" w:sz="12" w:space="0" w:color="000000"/>
            </w:tcBorders>
            <w:shd w:val="clear" w:color="auto" w:fill="auto"/>
            <w:vAlign w:val="center"/>
          </w:tcPr>
          <w:p w:rsidR="0079520E" w:rsidRPr="00E43C41" w:rsidRDefault="0079520E" w:rsidP="00505159">
            <w:pPr>
              <w:jc w:val="center"/>
              <w:rPr>
                <w:b/>
              </w:rPr>
            </w:pPr>
            <w:r w:rsidRPr="00E43C41">
              <w:rPr>
                <w:b/>
              </w:rPr>
              <w:t>7,65</w:t>
            </w:r>
          </w:p>
        </w:tc>
        <w:tc>
          <w:tcPr>
            <w:tcW w:w="1080" w:type="dxa"/>
            <w:tcBorders>
              <w:bottom w:val="single" w:sz="12" w:space="0" w:color="000000"/>
            </w:tcBorders>
            <w:shd w:val="clear" w:color="auto" w:fill="auto"/>
            <w:vAlign w:val="center"/>
          </w:tcPr>
          <w:p w:rsidR="0079520E" w:rsidRPr="00E43C41" w:rsidRDefault="0079520E" w:rsidP="00505159">
            <w:pPr>
              <w:jc w:val="center"/>
              <w:rPr>
                <w:b/>
              </w:rPr>
            </w:pPr>
            <w:r w:rsidRPr="00E43C41">
              <w:rPr>
                <w:b/>
              </w:rPr>
              <w:t>4,33</w:t>
            </w:r>
          </w:p>
        </w:tc>
        <w:tc>
          <w:tcPr>
            <w:tcW w:w="1260" w:type="dxa"/>
            <w:tcBorders>
              <w:bottom w:val="single" w:sz="12" w:space="0" w:color="000000"/>
            </w:tcBorders>
            <w:shd w:val="clear" w:color="auto" w:fill="auto"/>
            <w:vAlign w:val="center"/>
          </w:tcPr>
          <w:p w:rsidR="0079520E" w:rsidRPr="00E43C41" w:rsidRDefault="0079520E" w:rsidP="00505159">
            <w:pPr>
              <w:jc w:val="center"/>
              <w:rPr>
                <w:b/>
              </w:rPr>
            </w:pPr>
            <w:r w:rsidRPr="00E43C41">
              <w:rPr>
                <w:b/>
              </w:rPr>
              <w:t>9,0</w:t>
            </w:r>
          </w:p>
        </w:tc>
      </w:tr>
      <w:bookmarkEnd w:id="1"/>
    </w:tbl>
    <w:p w:rsidR="0079520E" w:rsidRPr="00E43C41" w:rsidRDefault="0079520E" w:rsidP="0079520E">
      <w:pPr>
        <w:spacing w:line="360" w:lineRule="auto"/>
        <w:ind w:firstLine="708"/>
      </w:pPr>
    </w:p>
    <w:p w:rsidR="00E82DD7" w:rsidRPr="00E43C41" w:rsidRDefault="00C74810" w:rsidP="00E82DD7">
      <w:pPr>
        <w:spacing w:line="360" w:lineRule="auto"/>
        <w:ind w:firstLine="708"/>
        <w:rPr>
          <w:b/>
        </w:rPr>
      </w:pPr>
      <w:r>
        <w:t xml:space="preserve">A Tabela 2 apresenta acima, os itens relativos à dimensão da eficácia para a motivação. </w:t>
      </w:r>
      <w:r w:rsidRPr="00E43C41">
        <w:t>Os itens “Reconhecer os pontos fracos do time adversário durante a competição” e “Construir a confiança do time” receberam a maior média dessa dimensão. Já os itens “Manter a confiança nos seus atletas” e “Preparar os atletas mentalmente para o jogo/ encontrar estratégias” receberam a menor média</w:t>
      </w:r>
      <w:r>
        <w:t xml:space="preserve">. Na mesma lógica, as Tabelas 3 e 4 apresentam, respectivamente, os itens relativos às dimensões da eficácia para a estratégia de jogo e eficácia para a formação do caráter e valores. </w:t>
      </w:r>
      <w:r w:rsidR="00E82DD7">
        <w:t xml:space="preserve">Os itens “Tomar decisões críticas durante a competição” e Treinar/orientar os atletas individualmente sobre técnicas” apresentaram menor e maior pontuação. Observamos que, embora o item “Adaptar-se a situações diferentes de jogo” tenha a mesma média que “Tomar decisões críticas...”, os valores mínimos são diferentes. Para a dimensão da eficácia da formação do caráter e valores, </w:t>
      </w:r>
      <w:r w:rsidR="00E82DD7" w:rsidRPr="00E43C41">
        <w:t>o item “Estabelecer uma atitude de respeito pelos outros”</w:t>
      </w:r>
      <w:r w:rsidR="00E82DD7">
        <w:t xml:space="preserve"> e</w:t>
      </w:r>
      <w:r w:rsidR="00E82DD7" w:rsidRPr="00E43C41">
        <w:t xml:space="preserve"> “Compreender as estratégias esportivas”</w:t>
      </w:r>
      <w:r w:rsidR="00E82DD7">
        <w:t xml:space="preserve"> obtiveram, consecutivamente, maior e menor pontuação.</w:t>
      </w:r>
    </w:p>
    <w:p w:rsidR="00E82DD7" w:rsidRPr="00E43C41" w:rsidRDefault="00E82DD7" w:rsidP="0079520E">
      <w:pPr>
        <w:spacing w:line="360" w:lineRule="auto"/>
        <w:ind w:firstLine="708"/>
      </w:pPr>
    </w:p>
    <w:p w:rsidR="0079520E" w:rsidRPr="00E3487E" w:rsidRDefault="0079520E" w:rsidP="0079520E">
      <w:pPr>
        <w:spacing w:line="360" w:lineRule="auto"/>
        <w:jc w:val="center"/>
      </w:pPr>
      <w:r w:rsidRPr="00E3487E">
        <w:t>Tabela 3: Média, Mínimo e Máximo d</w:t>
      </w:r>
      <w:r w:rsidR="00E3487E">
        <w:t>a</w:t>
      </w:r>
      <w:r w:rsidRPr="00E3487E">
        <w:t xml:space="preserve"> Dimensão da eficácia para estratégia de jogo.</w:t>
      </w:r>
    </w:p>
    <w:tbl>
      <w:tblPr>
        <w:tblW w:w="7057" w:type="dxa"/>
        <w:jc w:val="center"/>
        <w:tblBorders>
          <w:top w:val="single" w:sz="12" w:space="0" w:color="000000"/>
          <w:bottom w:val="single" w:sz="12" w:space="0" w:color="000000"/>
          <w:insideH w:val="single" w:sz="6" w:space="0" w:color="000000"/>
        </w:tblBorders>
        <w:tblLook w:val="01A0"/>
      </w:tblPr>
      <w:tblGrid>
        <w:gridCol w:w="3870"/>
        <w:gridCol w:w="1078"/>
        <w:gridCol w:w="1079"/>
        <w:gridCol w:w="1030"/>
      </w:tblGrid>
      <w:tr w:rsidR="0079520E" w:rsidRPr="00E3487E" w:rsidTr="004D7A37">
        <w:trPr>
          <w:jc w:val="center"/>
        </w:trPr>
        <w:tc>
          <w:tcPr>
            <w:tcW w:w="3888" w:type="dxa"/>
            <w:tcBorders>
              <w:top w:val="single" w:sz="12" w:space="0" w:color="000000"/>
              <w:bottom w:val="single" w:sz="12" w:space="0" w:color="000000"/>
            </w:tcBorders>
            <w:shd w:val="clear" w:color="auto" w:fill="auto"/>
            <w:vAlign w:val="center"/>
          </w:tcPr>
          <w:p w:rsidR="0079520E" w:rsidRPr="00E3487E" w:rsidRDefault="0079520E" w:rsidP="00505159">
            <w:pPr>
              <w:jc w:val="center"/>
              <w:rPr>
                <w:bCs/>
              </w:rPr>
            </w:pPr>
            <w:bookmarkStart w:id="2" w:name="OLE_LINK3"/>
          </w:p>
        </w:tc>
        <w:tc>
          <w:tcPr>
            <w:tcW w:w="1080" w:type="dxa"/>
            <w:tcBorders>
              <w:top w:val="single" w:sz="12" w:space="0" w:color="000000"/>
              <w:bottom w:val="single" w:sz="12" w:space="0" w:color="000000"/>
            </w:tcBorders>
            <w:shd w:val="clear" w:color="auto" w:fill="auto"/>
            <w:vAlign w:val="center"/>
          </w:tcPr>
          <w:p w:rsidR="0079520E" w:rsidRPr="00E3487E" w:rsidRDefault="0079520E" w:rsidP="00505159">
            <w:pPr>
              <w:jc w:val="center"/>
              <w:rPr>
                <w:bCs/>
              </w:rPr>
            </w:pPr>
            <w:r w:rsidRPr="00E3487E">
              <w:rPr>
                <w:bCs/>
              </w:rPr>
              <w:t>Média</w:t>
            </w:r>
          </w:p>
        </w:tc>
        <w:tc>
          <w:tcPr>
            <w:tcW w:w="1080" w:type="dxa"/>
            <w:tcBorders>
              <w:top w:val="single" w:sz="12" w:space="0" w:color="000000"/>
              <w:bottom w:val="single" w:sz="12" w:space="0" w:color="000000"/>
            </w:tcBorders>
            <w:shd w:val="clear" w:color="auto" w:fill="auto"/>
            <w:vAlign w:val="center"/>
          </w:tcPr>
          <w:p w:rsidR="0079520E" w:rsidRPr="00E3487E" w:rsidRDefault="0079520E" w:rsidP="00505159">
            <w:pPr>
              <w:jc w:val="center"/>
              <w:rPr>
                <w:bCs/>
              </w:rPr>
            </w:pPr>
            <w:r w:rsidRPr="00E3487E">
              <w:rPr>
                <w:bCs/>
              </w:rPr>
              <w:t>Mínimo</w:t>
            </w:r>
          </w:p>
        </w:tc>
        <w:tc>
          <w:tcPr>
            <w:tcW w:w="1009" w:type="dxa"/>
            <w:tcBorders>
              <w:top w:val="single" w:sz="12" w:space="0" w:color="000000"/>
              <w:bottom w:val="single" w:sz="12" w:space="0" w:color="000000"/>
            </w:tcBorders>
            <w:shd w:val="clear" w:color="auto" w:fill="auto"/>
            <w:vAlign w:val="center"/>
          </w:tcPr>
          <w:p w:rsidR="0079520E" w:rsidRPr="00E3487E" w:rsidRDefault="0079520E" w:rsidP="00505159">
            <w:pPr>
              <w:jc w:val="center"/>
              <w:rPr>
                <w:bCs/>
              </w:rPr>
            </w:pPr>
            <w:r w:rsidRPr="00E3487E">
              <w:rPr>
                <w:bCs/>
              </w:rPr>
              <w:t>Máximo</w:t>
            </w:r>
          </w:p>
        </w:tc>
      </w:tr>
      <w:tr w:rsidR="0079520E" w:rsidRPr="00E43C41" w:rsidTr="004D7A37">
        <w:trPr>
          <w:jc w:val="center"/>
        </w:trPr>
        <w:tc>
          <w:tcPr>
            <w:tcW w:w="3888" w:type="dxa"/>
            <w:tcBorders>
              <w:bottom w:val="nil"/>
            </w:tcBorders>
            <w:shd w:val="clear" w:color="auto" w:fill="auto"/>
            <w:vAlign w:val="center"/>
          </w:tcPr>
          <w:p w:rsidR="0079520E" w:rsidRPr="00E43C41" w:rsidRDefault="0079520E" w:rsidP="00505159">
            <w:r w:rsidRPr="00E43C41">
              <w:t>Adaptar-se</w:t>
            </w:r>
            <w:r w:rsidR="006F56CE">
              <w:t xml:space="preserve"> a situações diferentes de jogo</w:t>
            </w:r>
          </w:p>
        </w:tc>
        <w:tc>
          <w:tcPr>
            <w:tcW w:w="1080" w:type="dxa"/>
            <w:tcBorders>
              <w:bottom w:val="nil"/>
            </w:tcBorders>
            <w:shd w:val="clear" w:color="auto" w:fill="auto"/>
            <w:vAlign w:val="center"/>
          </w:tcPr>
          <w:p w:rsidR="0079520E" w:rsidRPr="00E43C41" w:rsidRDefault="0079520E" w:rsidP="00505159">
            <w:pPr>
              <w:jc w:val="center"/>
            </w:pPr>
            <w:r w:rsidRPr="00E43C41">
              <w:t>7,55</w:t>
            </w:r>
          </w:p>
        </w:tc>
        <w:tc>
          <w:tcPr>
            <w:tcW w:w="1080" w:type="dxa"/>
            <w:tcBorders>
              <w:bottom w:val="nil"/>
            </w:tcBorders>
            <w:shd w:val="clear" w:color="auto" w:fill="auto"/>
            <w:vAlign w:val="center"/>
          </w:tcPr>
          <w:p w:rsidR="0079520E" w:rsidRPr="00E43C41" w:rsidRDefault="0079520E" w:rsidP="00505159">
            <w:pPr>
              <w:jc w:val="center"/>
            </w:pPr>
            <w:r w:rsidRPr="00E43C41">
              <w:t>6,0</w:t>
            </w:r>
          </w:p>
        </w:tc>
        <w:tc>
          <w:tcPr>
            <w:tcW w:w="1009" w:type="dxa"/>
            <w:tcBorders>
              <w:bottom w:val="nil"/>
            </w:tcBorders>
            <w:shd w:val="clear" w:color="auto" w:fill="auto"/>
            <w:vAlign w:val="center"/>
          </w:tcPr>
          <w:p w:rsidR="0079520E" w:rsidRPr="00E43C41" w:rsidRDefault="0079520E" w:rsidP="00505159">
            <w:pPr>
              <w:jc w:val="center"/>
            </w:pPr>
            <w:r w:rsidRPr="00E43C41">
              <w:t>9,0</w:t>
            </w:r>
          </w:p>
        </w:tc>
      </w:tr>
      <w:tr w:rsidR="0079520E" w:rsidRPr="00E43C41" w:rsidTr="004D7A37">
        <w:trPr>
          <w:jc w:val="center"/>
        </w:trPr>
        <w:tc>
          <w:tcPr>
            <w:tcW w:w="3888" w:type="dxa"/>
            <w:tcBorders>
              <w:top w:val="nil"/>
              <w:bottom w:val="nil"/>
            </w:tcBorders>
            <w:shd w:val="clear" w:color="auto" w:fill="auto"/>
            <w:vAlign w:val="center"/>
          </w:tcPr>
          <w:p w:rsidR="0079520E" w:rsidRPr="00E43C41" w:rsidRDefault="0079520E" w:rsidP="006F56CE">
            <w:r w:rsidRPr="00E43C41">
              <w:t>Motivar seus atletas</w:t>
            </w:r>
          </w:p>
        </w:tc>
        <w:tc>
          <w:tcPr>
            <w:tcW w:w="1080" w:type="dxa"/>
            <w:tcBorders>
              <w:top w:val="nil"/>
              <w:bottom w:val="nil"/>
            </w:tcBorders>
            <w:shd w:val="clear" w:color="auto" w:fill="auto"/>
            <w:vAlign w:val="center"/>
          </w:tcPr>
          <w:p w:rsidR="0079520E" w:rsidRPr="00E43C41" w:rsidRDefault="0079520E" w:rsidP="00505159">
            <w:pPr>
              <w:jc w:val="center"/>
            </w:pPr>
            <w:r w:rsidRPr="00E43C41">
              <w:t>8,11</w:t>
            </w:r>
          </w:p>
        </w:tc>
        <w:tc>
          <w:tcPr>
            <w:tcW w:w="1080" w:type="dxa"/>
            <w:tcBorders>
              <w:top w:val="nil"/>
              <w:bottom w:val="nil"/>
            </w:tcBorders>
            <w:shd w:val="clear" w:color="auto" w:fill="auto"/>
            <w:vAlign w:val="center"/>
          </w:tcPr>
          <w:p w:rsidR="0079520E" w:rsidRPr="00E43C41" w:rsidRDefault="0079520E" w:rsidP="00505159">
            <w:pPr>
              <w:jc w:val="center"/>
            </w:pPr>
            <w:r w:rsidRPr="00E43C41">
              <w:t>7,0</w:t>
            </w:r>
          </w:p>
        </w:tc>
        <w:tc>
          <w:tcPr>
            <w:tcW w:w="1009" w:type="dxa"/>
            <w:tcBorders>
              <w:top w:val="nil"/>
              <w:bottom w:val="nil"/>
            </w:tcBorders>
            <w:shd w:val="clear" w:color="auto" w:fill="auto"/>
            <w:vAlign w:val="center"/>
          </w:tcPr>
          <w:p w:rsidR="0079520E" w:rsidRPr="00E43C41" w:rsidRDefault="0079520E" w:rsidP="00505159">
            <w:pPr>
              <w:jc w:val="center"/>
            </w:pPr>
            <w:r w:rsidRPr="00E43C41">
              <w:t>9,0</w:t>
            </w:r>
          </w:p>
        </w:tc>
      </w:tr>
      <w:tr w:rsidR="0079520E" w:rsidRPr="00E43C41" w:rsidTr="004D7A37">
        <w:trPr>
          <w:jc w:val="center"/>
        </w:trPr>
        <w:tc>
          <w:tcPr>
            <w:tcW w:w="3888" w:type="dxa"/>
            <w:tcBorders>
              <w:top w:val="nil"/>
              <w:bottom w:val="nil"/>
            </w:tcBorders>
            <w:shd w:val="clear" w:color="auto" w:fill="auto"/>
            <w:vAlign w:val="center"/>
          </w:tcPr>
          <w:p w:rsidR="0079520E" w:rsidRPr="00E43C41" w:rsidRDefault="0079520E" w:rsidP="00C74810">
            <w:r w:rsidRPr="00E43C41">
              <w:t xml:space="preserve">Tomar decisões críticas durante a </w:t>
            </w:r>
            <w:r w:rsidR="00C74810">
              <w:t>c</w:t>
            </w:r>
            <w:r w:rsidRPr="00E43C41">
              <w:t>ompetição</w:t>
            </w:r>
          </w:p>
        </w:tc>
        <w:tc>
          <w:tcPr>
            <w:tcW w:w="1080" w:type="dxa"/>
            <w:tcBorders>
              <w:top w:val="nil"/>
              <w:bottom w:val="nil"/>
            </w:tcBorders>
            <w:shd w:val="clear" w:color="auto" w:fill="auto"/>
            <w:vAlign w:val="center"/>
          </w:tcPr>
          <w:p w:rsidR="0079520E" w:rsidRPr="00E43C41" w:rsidRDefault="0079520E" w:rsidP="00505159">
            <w:pPr>
              <w:jc w:val="center"/>
            </w:pPr>
            <w:r w:rsidRPr="00E43C41">
              <w:t>7,55</w:t>
            </w:r>
          </w:p>
        </w:tc>
        <w:tc>
          <w:tcPr>
            <w:tcW w:w="1080" w:type="dxa"/>
            <w:tcBorders>
              <w:top w:val="nil"/>
              <w:bottom w:val="nil"/>
            </w:tcBorders>
            <w:shd w:val="clear" w:color="auto" w:fill="auto"/>
            <w:vAlign w:val="center"/>
          </w:tcPr>
          <w:p w:rsidR="0079520E" w:rsidRPr="00E43C41" w:rsidRDefault="0079520E" w:rsidP="00505159">
            <w:pPr>
              <w:jc w:val="center"/>
            </w:pPr>
            <w:r w:rsidRPr="00E43C41">
              <w:t>4,0</w:t>
            </w:r>
          </w:p>
        </w:tc>
        <w:tc>
          <w:tcPr>
            <w:tcW w:w="1009" w:type="dxa"/>
            <w:tcBorders>
              <w:top w:val="nil"/>
              <w:bottom w:val="nil"/>
            </w:tcBorders>
            <w:shd w:val="clear" w:color="auto" w:fill="auto"/>
            <w:vAlign w:val="center"/>
          </w:tcPr>
          <w:p w:rsidR="0079520E" w:rsidRPr="00E43C41" w:rsidRDefault="0079520E" w:rsidP="00505159">
            <w:pPr>
              <w:jc w:val="center"/>
            </w:pPr>
            <w:r w:rsidRPr="00E43C41">
              <w:t>9,0</w:t>
            </w:r>
          </w:p>
        </w:tc>
      </w:tr>
      <w:tr w:rsidR="0079520E" w:rsidRPr="00E43C41" w:rsidTr="004D7A37">
        <w:trPr>
          <w:jc w:val="center"/>
        </w:trPr>
        <w:tc>
          <w:tcPr>
            <w:tcW w:w="3888" w:type="dxa"/>
            <w:tcBorders>
              <w:top w:val="nil"/>
              <w:bottom w:val="nil"/>
            </w:tcBorders>
            <w:shd w:val="clear" w:color="auto" w:fill="auto"/>
            <w:vAlign w:val="center"/>
          </w:tcPr>
          <w:p w:rsidR="0079520E" w:rsidRPr="00E43C41" w:rsidRDefault="0079520E" w:rsidP="006F56CE">
            <w:r w:rsidRPr="00E43C41">
              <w:t>Construir a coesão do time</w:t>
            </w:r>
          </w:p>
        </w:tc>
        <w:tc>
          <w:tcPr>
            <w:tcW w:w="1080" w:type="dxa"/>
            <w:tcBorders>
              <w:top w:val="nil"/>
              <w:bottom w:val="nil"/>
            </w:tcBorders>
            <w:shd w:val="clear" w:color="auto" w:fill="auto"/>
            <w:vAlign w:val="center"/>
          </w:tcPr>
          <w:p w:rsidR="0079520E" w:rsidRPr="00E43C41" w:rsidRDefault="0079520E" w:rsidP="00505159">
            <w:pPr>
              <w:jc w:val="center"/>
            </w:pPr>
            <w:r w:rsidRPr="00E43C41">
              <w:t>7,83</w:t>
            </w:r>
          </w:p>
        </w:tc>
        <w:tc>
          <w:tcPr>
            <w:tcW w:w="1080" w:type="dxa"/>
            <w:tcBorders>
              <w:top w:val="nil"/>
              <w:bottom w:val="nil"/>
            </w:tcBorders>
            <w:shd w:val="clear" w:color="auto" w:fill="auto"/>
            <w:vAlign w:val="center"/>
          </w:tcPr>
          <w:p w:rsidR="0079520E" w:rsidRPr="00E43C41" w:rsidRDefault="0079520E" w:rsidP="00505159">
            <w:pPr>
              <w:jc w:val="center"/>
            </w:pPr>
            <w:r w:rsidRPr="00E43C41">
              <w:t>6,0</w:t>
            </w:r>
          </w:p>
        </w:tc>
        <w:tc>
          <w:tcPr>
            <w:tcW w:w="1009" w:type="dxa"/>
            <w:tcBorders>
              <w:top w:val="nil"/>
              <w:bottom w:val="nil"/>
            </w:tcBorders>
            <w:shd w:val="clear" w:color="auto" w:fill="auto"/>
            <w:vAlign w:val="center"/>
          </w:tcPr>
          <w:p w:rsidR="0079520E" w:rsidRPr="00E43C41" w:rsidRDefault="0079520E" w:rsidP="00505159">
            <w:pPr>
              <w:jc w:val="center"/>
            </w:pPr>
            <w:r w:rsidRPr="00E43C41">
              <w:t>9,0</w:t>
            </w:r>
          </w:p>
        </w:tc>
      </w:tr>
      <w:tr w:rsidR="0079520E" w:rsidRPr="00E43C41" w:rsidTr="004D7A37">
        <w:trPr>
          <w:jc w:val="center"/>
        </w:trPr>
        <w:tc>
          <w:tcPr>
            <w:tcW w:w="3888" w:type="dxa"/>
            <w:tcBorders>
              <w:top w:val="nil"/>
              <w:bottom w:val="nil"/>
            </w:tcBorders>
            <w:shd w:val="clear" w:color="auto" w:fill="auto"/>
            <w:vAlign w:val="center"/>
          </w:tcPr>
          <w:p w:rsidR="0079520E" w:rsidRPr="00E43C41" w:rsidRDefault="0079520E" w:rsidP="006F56CE">
            <w:r w:rsidRPr="00E43C41">
              <w:t>Treinar/orientar os atletas individualmente sobre técnicas</w:t>
            </w:r>
          </w:p>
        </w:tc>
        <w:tc>
          <w:tcPr>
            <w:tcW w:w="1080" w:type="dxa"/>
            <w:tcBorders>
              <w:top w:val="nil"/>
              <w:bottom w:val="nil"/>
            </w:tcBorders>
            <w:shd w:val="clear" w:color="auto" w:fill="auto"/>
            <w:vAlign w:val="center"/>
          </w:tcPr>
          <w:p w:rsidR="0079520E" w:rsidRPr="00E43C41" w:rsidRDefault="0079520E" w:rsidP="00505159">
            <w:pPr>
              <w:jc w:val="center"/>
            </w:pPr>
            <w:r w:rsidRPr="00E43C41">
              <w:t>8,27</w:t>
            </w:r>
          </w:p>
        </w:tc>
        <w:tc>
          <w:tcPr>
            <w:tcW w:w="1080" w:type="dxa"/>
            <w:tcBorders>
              <w:top w:val="nil"/>
              <w:bottom w:val="nil"/>
            </w:tcBorders>
            <w:shd w:val="clear" w:color="auto" w:fill="auto"/>
            <w:vAlign w:val="center"/>
          </w:tcPr>
          <w:p w:rsidR="0079520E" w:rsidRPr="00E43C41" w:rsidRDefault="0079520E" w:rsidP="00505159">
            <w:pPr>
              <w:jc w:val="center"/>
            </w:pPr>
            <w:r w:rsidRPr="00E43C41">
              <w:t>4,0</w:t>
            </w:r>
          </w:p>
        </w:tc>
        <w:tc>
          <w:tcPr>
            <w:tcW w:w="1009" w:type="dxa"/>
            <w:tcBorders>
              <w:top w:val="nil"/>
              <w:bottom w:val="nil"/>
            </w:tcBorders>
            <w:shd w:val="clear" w:color="auto" w:fill="auto"/>
            <w:vAlign w:val="center"/>
          </w:tcPr>
          <w:p w:rsidR="0079520E" w:rsidRPr="00E43C41" w:rsidRDefault="0079520E" w:rsidP="00505159">
            <w:pPr>
              <w:jc w:val="center"/>
            </w:pPr>
            <w:r w:rsidRPr="00E43C41">
              <w:t>9,0</w:t>
            </w:r>
          </w:p>
        </w:tc>
      </w:tr>
      <w:tr w:rsidR="0079520E" w:rsidRPr="00E43C41" w:rsidTr="004D7A37">
        <w:trPr>
          <w:jc w:val="center"/>
        </w:trPr>
        <w:tc>
          <w:tcPr>
            <w:tcW w:w="3888" w:type="dxa"/>
            <w:tcBorders>
              <w:top w:val="nil"/>
              <w:bottom w:val="nil"/>
            </w:tcBorders>
            <w:shd w:val="clear" w:color="auto" w:fill="auto"/>
            <w:vAlign w:val="center"/>
          </w:tcPr>
          <w:p w:rsidR="0079520E" w:rsidRPr="00E43C41" w:rsidRDefault="0079520E" w:rsidP="00505159">
            <w:r w:rsidRPr="00E43C41">
              <w:t>Desenvo</w:t>
            </w:r>
            <w:r w:rsidR="006F56CE">
              <w:t>lver as capacidades dos atletas</w:t>
            </w:r>
          </w:p>
        </w:tc>
        <w:tc>
          <w:tcPr>
            <w:tcW w:w="1080" w:type="dxa"/>
            <w:tcBorders>
              <w:top w:val="nil"/>
              <w:bottom w:val="nil"/>
            </w:tcBorders>
            <w:shd w:val="clear" w:color="auto" w:fill="auto"/>
            <w:vAlign w:val="center"/>
          </w:tcPr>
          <w:p w:rsidR="0079520E" w:rsidRPr="00E43C41" w:rsidRDefault="0079520E" w:rsidP="00505159">
            <w:pPr>
              <w:jc w:val="center"/>
            </w:pPr>
            <w:r w:rsidRPr="00E43C41">
              <w:t>7,80</w:t>
            </w:r>
          </w:p>
        </w:tc>
        <w:tc>
          <w:tcPr>
            <w:tcW w:w="1080" w:type="dxa"/>
            <w:tcBorders>
              <w:top w:val="nil"/>
              <w:bottom w:val="nil"/>
            </w:tcBorders>
            <w:shd w:val="clear" w:color="auto" w:fill="auto"/>
            <w:vAlign w:val="center"/>
          </w:tcPr>
          <w:p w:rsidR="0079520E" w:rsidRPr="00E43C41" w:rsidRDefault="0079520E" w:rsidP="00505159">
            <w:pPr>
              <w:jc w:val="center"/>
            </w:pPr>
            <w:r w:rsidRPr="00E43C41">
              <w:t>5,0</w:t>
            </w:r>
          </w:p>
        </w:tc>
        <w:tc>
          <w:tcPr>
            <w:tcW w:w="1009" w:type="dxa"/>
            <w:tcBorders>
              <w:top w:val="nil"/>
              <w:bottom w:val="nil"/>
            </w:tcBorders>
            <w:shd w:val="clear" w:color="auto" w:fill="auto"/>
            <w:vAlign w:val="center"/>
          </w:tcPr>
          <w:p w:rsidR="0079520E" w:rsidRPr="00E43C41" w:rsidRDefault="0079520E" w:rsidP="00505159">
            <w:pPr>
              <w:jc w:val="center"/>
            </w:pPr>
            <w:r w:rsidRPr="00E43C41">
              <w:t>9,0</w:t>
            </w:r>
          </w:p>
        </w:tc>
      </w:tr>
      <w:tr w:rsidR="0079520E" w:rsidRPr="00E43C41" w:rsidTr="004D7A37">
        <w:trPr>
          <w:jc w:val="center"/>
        </w:trPr>
        <w:tc>
          <w:tcPr>
            <w:tcW w:w="3888" w:type="dxa"/>
            <w:tcBorders>
              <w:top w:val="nil"/>
              <w:bottom w:val="single" w:sz="18" w:space="0" w:color="000000"/>
            </w:tcBorders>
            <w:shd w:val="clear" w:color="auto" w:fill="auto"/>
            <w:vAlign w:val="center"/>
          </w:tcPr>
          <w:p w:rsidR="0079520E" w:rsidRPr="00E43C41" w:rsidRDefault="0079520E" w:rsidP="006F56CE">
            <w:r w:rsidRPr="00E43C41">
              <w:t>Detectar falhas nas habilidades</w:t>
            </w:r>
          </w:p>
        </w:tc>
        <w:tc>
          <w:tcPr>
            <w:tcW w:w="1080" w:type="dxa"/>
            <w:tcBorders>
              <w:top w:val="nil"/>
              <w:bottom w:val="single" w:sz="18" w:space="0" w:color="000000"/>
            </w:tcBorders>
            <w:shd w:val="clear" w:color="auto" w:fill="auto"/>
            <w:vAlign w:val="center"/>
          </w:tcPr>
          <w:p w:rsidR="0079520E" w:rsidRPr="00E43C41" w:rsidRDefault="0079520E" w:rsidP="00505159">
            <w:pPr>
              <w:jc w:val="center"/>
            </w:pPr>
            <w:r w:rsidRPr="00E43C41">
              <w:t>8,05</w:t>
            </w:r>
          </w:p>
        </w:tc>
        <w:tc>
          <w:tcPr>
            <w:tcW w:w="1080" w:type="dxa"/>
            <w:tcBorders>
              <w:top w:val="nil"/>
              <w:bottom w:val="single" w:sz="18" w:space="0" w:color="000000"/>
            </w:tcBorders>
            <w:shd w:val="clear" w:color="auto" w:fill="auto"/>
            <w:vAlign w:val="center"/>
          </w:tcPr>
          <w:p w:rsidR="0079520E" w:rsidRPr="00E43C41" w:rsidRDefault="0079520E" w:rsidP="00505159">
            <w:pPr>
              <w:jc w:val="center"/>
            </w:pPr>
            <w:r w:rsidRPr="00E43C41">
              <w:t>6,0</w:t>
            </w:r>
          </w:p>
        </w:tc>
        <w:tc>
          <w:tcPr>
            <w:tcW w:w="1009" w:type="dxa"/>
            <w:tcBorders>
              <w:top w:val="nil"/>
              <w:bottom w:val="single" w:sz="18" w:space="0" w:color="000000"/>
            </w:tcBorders>
            <w:shd w:val="clear" w:color="auto" w:fill="auto"/>
            <w:vAlign w:val="center"/>
          </w:tcPr>
          <w:p w:rsidR="0079520E" w:rsidRPr="00E43C41" w:rsidRDefault="0079520E" w:rsidP="00505159">
            <w:pPr>
              <w:jc w:val="center"/>
            </w:pPr>
            <w:r w:rsidRPr="00E43C41">
              <w:t>9,0</w:t>
            </w:r>
          </w:p>
        </w:tc>
      </w:tr>
      <w:tr w:rsidR="0079520E" w:rsidRPr="00E43C41" w:rsidTr="004D7A37">
        <w:trPr>
          <w:jc w:val="center"/>
        </w:trPr>
        <w:tc>
          <w:tcPr>
            <w:tcW w:w="3888" w:type="dxa"/>
            <w:tcBorders>
              <w:top w:val="single" w:sz="18" w:space="0" w:color="000000"/>
              <w:bottom w:val="single" w:sz="12" w:space="0" w:color="000000"/>
            </w:tcBorders>
            <w:shd w:val="clear" w:color="auto" w:fill="auto"/>
            <w:vAlign w:val="center"/>
          </w:tcPr>
          <w:p w:rsidR="0079520E" w:rsidRPr="00E43C41" w:rsidRDefault="0079520E" w:rsidP="00505159">
            <w:pPr>
              <w:jc w:val="center"/>
              <w:rPr>
                <w:b/>
              </w:rPr>
            </w:pPr>
            <w:r w:rsidRPr="00E43C41">
              <w:rPr>
                <w:b/>
              </w:rPr>
              <w:t>Total</w:t>
            </w:r>
          </w:p>
        </w:tc>
        <w:tc>
          <w:tcPr>
            <w:tcW w:w="1080" w:type="dxa"/>
            <w:tcBorders>
              <w:top w:val="single" w:sz="18" w:space="0" w:color="000000"/>
              <w:bottom w:val="single" w:sz="12" w:space="0" w:color="000000"/>
            </w:tcBorders>
            <w:shd w:val="clear" w:color="auto" w:fill="auto"/>
            <w:vAlign w:val="center"/>
          </w:tcPr>
          <w:p w:rsidR="0079520E" w:rsidRPr="00E43C41" w:rsidRDefault="0079520E" w:rsidP="00505159">
            <w:pPr>
              <w:jc w:val="center"/>
              <w:rPr>
                <w:b/>
              </w:rPr>
            </w:pPr>
            <w:r w:rsidRPr="00E43C41">
              <w:rPr>
                <w:b/>
              </w:rPr>
              <w:t>7,88</w:t>
            </w:r>
          </w:p>
        </w:tc>
        <w:tc>
          <w:tcPr>
            <w:tcW w:w="1080" w:type="dxa"/>
            <w:tcBorders>
              <w:top w:val="single" w:sz="18" w:space="0" w:color="000000"/>
              <w:bottom w:val="single" w:sz="12" w:space="0" w:color="000000"/>
            </w:tcBorders>
            <w:shd w:val="clear" w:color="auto" w:fill="auto"/>
            <w:vAlign w:val="center"/>
          </w:tcPr>
          <w:p w:rsidR="0079520E" w:rsidRPr="00E43C41" w:rsidRDefault="0079520E" w:rsidP="00505159">
            <w:pPr>
              <w:jc w:val="center"/>
              <w:rPr>
                <w:b/>
              </w:rPr>
            </w:pPr>
            <w:r w:rsidRPr="00E43C41">
              <w:rPr>
                <w:b/>
              </w:rPr>
              <w:t>5,42</w:t>
            </w:r>
          </w:p>
        </w:tc>
        <w:tc>
          <w:tcPr>
            <w:tcW w:w="1009" w:type="dxa"/>
            <w:tcBorders>
              <w:top w:val="single" w:sz="18" w:space="0" w:color="000000"/>
              <w:bottom w:val="single" w:sz="12" w:space="0" w:color="000000"/>
            </w:tcBorders>
            <w:shd w:val="clear" w:color="auto" w:fill="auto"/>
            <w:vAlign w:val="center"/>
          </w:tcPr>
          <w:p w:rsidR="0079520E" w:rsidRPr="00E43C41" w:rsidRDefault="0079520E" w:rsidP="00505159">
            <w:pPr>
              <w:jc w:val="center"/>
              <w:rPr>
                <w:b/>
              </w:rPr>
            </w:pPr>
            <w:r w:rsidRPr="00E43C41">
              <w:rPr>
                <w:b/>
              </w:rPr>
              <w:t>9,0</w:t>
            </w:r>
          </w:p>
        </w:tc>
      </w:tr>
      <w:bookmarkEnd w:id="2"/>
    </w:tbl>
    <w:p w:rsidR="0079520E" w:rsidRPr="00E43C41" w:rsidRDefault="0079520E" w:rsidP="0079520E">
      <w:pPr>
        <w:spacing w:line="360" w:lineRule="auto"/>
        <w:ind w:firstLine="708"/>
      </w:pPr>
    </w:p>
    <w:p w:rsidR="007E10FD" w:rsidRDefault="007E10FD" w:rsidP="0079520E">
      <w:pPr>
        <w:spacing w:line="360" w:lineRule="auto"/>
        <w:jc w:val="center"/>
        <w:rPr>
          <w:b/>
        </w:rPr>
      </w:pPr>
    </w:p>
    <w:p w:rsidR="0079520E" w:rsidRPr="00E3487E" w:rsidRDefault="0079520E" w:rsidP="0079520E">
      <w:pPr>
        <w:spacing w:line="360" w:lineRule="auto"/>
        <w:jc w:val="center"/>
      </w:pPr>
      <w:r w:rsidRPr="00E3487E">
        <w:t>Tabela 4: Média, Mínimo e Máximo d</w:t>
      </w:r>
      <w:r w:rsidR="00E3487E">
        <w:t>a D</w:t>
      </w:r>
      <w:r w:rsidRPr="00E3487E">
        <w:t>imensão da eficácia para formação do caráter.</w:t>
      </w:r>
    </w:p>
    <w:tbl>
      <w:tblPr>
        <w:tblW w:w="0" w:type="auto"/>
        <w:jc w:val="center"/>
        <w:tblInd w:w="675" w:type="dxa"/>
        <w:tblBorders>
          <w:top w:val="single" w:sz="12" w:space="0" w:color="000000"/>
          <w:bottom w:val="single" w:sz="12" w:space="0" w:color="000000"/>
        </w:tblBorders>
        <w:tblLook w:val="01A0"/>
      </w:tblPr>
      <w:tblGrid>
        <w:gridCol w:w="5195"/>
        <w:gridCol w:w="830"/>
        <w:gridCol w:w="990"/>
        <w:gridCol w:w="1030"/>
      </w:tblGrid>
      <w:tr w:rsidR="0079520E" w:rsidRPr="00E3487E" w:rsidTr="004D7A37">
        <w:trPr>
          <w:trHeight w:val="283"/>
          <w:jc w:val="center"/>
        </w:trPr>
        <w:tc>
          <w:tcPr>
            <w:tcW w:w="5195" w:type="dxa"/>
            <w:tcBorders>
              <w:top w:val="single" w:sz="12" w:space="0" w:color="000000"/>
              <w:bottom w:val="single" w:sz="12" w:space="0" w:color="000000"/>
            </w:tcBorders>
            <w:shd w:val="clear" w:color="auto" w:fill="auto"/>
            <w:vAlign w:val="center"/>
          </w:tcPr>
          <w:p w:rsidR="0079520E" w:rsidRPr="00E3487E" w:rsidRDefault="0079520E" w:rsidP="00505159">
            <w:pPr>
              <w:jc w:val="center"/>
              <w:rPr>
                <w:iCs/>
              </w:rPr>
            </w:pPr>
            <w:bookmarkStart w:id="3" w:name="OLE_LINK4"/>
          </w:p>
        </w:tc>
        <w:tc>
          <w:tcPr>
            <w:tcW w:w="0" w:type="auto"/>
            <w:tcBorders>
              <w:top w:val="single" w:sz="12" w:space="0" w:color="000000"/>
              <w:bottom w:val="single" w:sz="12" w:space="0" w:color="000000"/>
            </w:tcBorders>
            <w:shd w:val="clear" w:color="auto" w:fill="auto"/>
            <w:vAlign w:val="center"/>
          </w:tcPr>
          <w:p w:rsidR="0079520E" w:rsidRPr="00E3487E" w:rsidRDefault="0079520E" w:rsidP="00505159">
            <w:pPr>
              <w:jc w:val="center"/>
              <w:rPr>
                <w:iCs/>
              </w:rPr>
            </w:pPr>
            <w:r w:rsidRPr="00E3487E">
              <w:rPr>
                <w:iCs/>
              </w:rPr>
              <w:t>Média</w:t>
            </w:r>
          </w:p>
        </w:tc>
        <w:tc>
          <w:tcPr>
            <w:tcW w:w="0" w:type="auto"/>
            <w:tcBorders>
              <w:top w:val="single" w:sz="12" w:space="0" w:color="000000"/>
              <w:bottom w:val="single" w:sz="12" w:space="0" w:color="000000"/>
            </w:tcBorders>
            <w:shd w:val="clear" w:color="auto" w:fill="auto"/>
            <w:vAlign w:val="center"/>
          </w:tcPr>
          <w:p w:rsidR="0079520E" w:rsidRPr="00E3487E" w:rsidRDefault="0079520E" w:rsidP="00505159">
            <w:pPr>
              <w:jc w:val="center"/>
              <w:rPr>
                <w:iCs/>
              </w:rPr>
            </w:pPr>
            <w:r w:rsidRPr="00E3487E">
              <w:rPr>
                <w:iCs/>
              </w:rPr>
              <w:t>Mínimo</w:t>
            </w:r>
          </w:p>
        </w:tc>
        <w:tc>
          <w:tcPr>
            <w:tcW w:w="694" w:type="dxa"/>
            <w:tcBorders>
              <w:top w:val="single" w:sz="12" w:space="0" w:color="000000"/>
              <w:bottom w:val="single" w:sz="12" w:space="0" w:color="000000"/>
            </w:tcBorders>
            <w:shd w:val="clear" w:color="auto" w:fill="auto"/>
            <w:vAlign w:val="center"/>
          </w:tcPr>
          <w:p w:rsidR="0079520E" w:rsidRPr="00E3487E" w:rsidRDefault="0079520E" w:rsidP="00505159">
            <w:pPr>
              <w:jc w:val="center"/>
              <w:rPr>
                <w:iCs/>
              </w:rPr>
            </w:pPr>
            <w:r w:rsidRPr="00E3487E">
              <w:rPr>
                <w:iCs/>
              </w:rPr>
              <w:t>Máximo</w:t>
            </w:r>
          </w:p>
        </w:tc>
      </w:tr>
      <w:tr w:rsidR="0079520E" w:rsidRPr="00E43C41" w:rsidTr="004D7A37">
        <w:trPr>
          <w:trHeight w:val="283"/>
          <w:jc w:val="center"/>
        </w:trPr>
        <w:tc>
          <w:tcPr>
            <w:tcW w:w="5195" w:type="dxa"/>
            <w:tcBorders>
              <w:top w:val="single" w:sz="12" w:space="0" w:color="000000"/>
              <w:bottom w:val="nil"/>
            </w:tcBorders>
            <w:shd w:val="clear" w:color="auto" w:fill="auto"/>
            <w:vAlign w:val="center"/>
          </w:tcPr>
          <w:p w:rsidR="0079520E" w:rsidRPr="00E43C41" w:rsidRDefault="0079520E" w:rsidP="00505159">
            <w:r w:rsidRPr="00E43C41">
              <w:t>Com</w:t>
            </w:r>
            <w:r w:rsidR="006F56CE">
              <w:t>preender estratégias esportivas</w:t>
            </w:r>
          </w:p>
        </w:tc>
        <w:tc>
          <w:tcPr>
            <w:tcW w:w="0" w:type="auto"/>
            <w:tcBorders>
              <w:top w:val="single" w:sz="12" w:space="0" w:color="000000"/>
              <w:bottom w:val="nil"/>
            </w:tcBorders>
            <w:shd w:val="clear" w:color="auto" w:fill="auto"/>
            <w:vAlign w:val="center"/>
          </w:tcPr>
          <w:p w:rsidR="0079520E" w:rsidRPr="00E43C41" w:rsidRDefault="0079520E" w:rsidP="00505159">
            <w:pPr>
              <w:jc w:val="center"/>
            </w:pPr>
            <w:r w:rsidRPr="00E43C41">
              <w:t>7,80</w:t>
            </w:r>
          </w:p>
        </w:tc>
        <w:tc>
          <w:tcPr>
            <w:tcW w:w="0" w:type="auto"/>
            <w:tcBorders>
              <w:top w:val="single" w:sz="12" w:space="0" w:color="000000"/>
              <w:bottom w:val="nil"/>
            </w:tcBorders>
            <w:shd w:val="clear" w:color="auto" w:fill="auto"/>
            <w:vAlign w:val="center"/>
          </w:tcPr>
          <w:p w:rsidR="0079520E" w:rsidRPr="00E43C41" w:rsidRDefault="0079520E" w:rsidP="00505159">
            <w:pPr>
              <w:jc w:val="center"/>
            </w:pPr>
            <w:r w:rsidRPr="00E43C41">
              <w:t>5,0</w:t>
            </w:r>
          </w:p>
        </w:tc>
        <w:tc>
          <w:tcPr>
            <w:tcW w:w="694" w:type="dxa"/>
            <w:tcBorders>
              <w:top w:val="single" w:sz="12" w:space="0" w:color="000000"/>
              <w:bottom w:val="nil"/>
            </w:tcBorders>
            <w:shd w:val="clear" w:color="auto" w:fill="auto"/>
            <w:vAlign w:val="center"/>
          </w:tcPr>
          <w:p w:rsidR="0079520E" w:rsidRPr="00E43C41" w:rsidRDefault="0079520E" w:rsidP="00505159">
            <w:pPr>
              <w:jc w:val="center"/>
            </w:pPr>
            <w:r w:rsidRPr="00E43C41">
              <w:t>9,0</w:t>
            </w:r>
          </w:p>
        </w:tc>
      </w:tr>
      <w:tr w:rsidR="0079520E" w:rsidRPr="00E43C41" w:rsidTr="004D7A37">
        <w:trPr>
          <w:trHeight w:val="283"/>
          <w:jc w:val="center"/>
        </w:trPr>
        <w:tc>
          <w:tcPr>
            <w:tcW w:w="5195" w:type="dxa"/>
            <w:tcBorders>
              <w:top w:val="nil"/>
              <w:bottom w:val="nil"/>
            </w:tcBorders>
            <w:shd w:val="clear" w:color="auto" w:fill="auto"/>
            <w:vAlign w:val="center"/>
          </w:tcPr>
          <w:p w:rsidR="0079520E" w:rsidRPr="00E43C41" w:rsidRDefault="0079520E" w:rsidP="006F56CE">
            <w:r w:rsidRPr="00E43C41">
              <w:t>Estabelecer uma atitude de bom caráter moral</w:t>
            </w:r>
          </w:p>
        </w:tc>
        <w:tc>
          <w:tcPr>
            <w:tcW w:w="0" w:type="auto"/>
            <w:tcBorders>
              <w:top w:val="nil"/>
              <w:bottom w:val="nil"/>
            </w:tcBorders>
            <w:shd w:val="clear" w:color="auto" w:fill="auto"/>
            <w:vAlign w:val="center"/>
          </w:tcPr>
          <w:p w:rsidR="0079520E" w:rsidRPr="00E43C41" w:rsidRDefault="0079520E" w:rsidP="00505159">
            <w:pPr>
              <w:jc w:val="center"/>
            </w:pPr>
            <w:r w:rsidRPr="00E43C41">
              <w:t>8,58</w:t>
            </w:r>
          </w:p>
        </w:tc>
        <w:tc>
          <w:tcPr>
            <w:tcW w:w="0" w:type="auto"/>
            <w:tcBorders>
              <w:top w:val="nil"/>
              <w:bottom w:val="nil"/>
            </w:tcBorders>
            <w:shd w:val="clear" w:color="auto" w:fill="auto"/>
            <w:vAlign w:val="center"/>
          </w:tcPr>
          <w:p w:rsidR="0079520E" w:rsidRPr="00E43C41" w:rsidRDefault="0079520E" w:rsidP="00505159">
            <w:pPr>
              <w:jc w:val="center"/>
            </w:pPr>
            <w:r w:rsidRPr="00E43C41">
              <w:t>5,0</w:t>
            </w:r>
          </w:p>
        </w:tc>
        <w:tc>
          <w:tcPr>
            <w:tcW w:w="694" w:type="dxa"/>
            <w:tcBorders>
              <w:top w:val="nil"/>
              <w:bottom w:val="nil"/>
            </w:tcBorders>
            <w:shd w:val="clear" w:color="auto" w:fill="auto"/>
            <w:vAlign w:val="center"/>
          </w:tcPr>
          <w:p w:rsidR="0079520E" w:rsidRPr="00E43C41" w:rsidRDefault="0079520E" w:rsidP="00505159">
            <w:pPr>
              <w:jc w:val="center"/>
            </w:pPr>
            <w:r w:rsidRPr="00E43C41">
              <w:t>9,0</w:t>
            </w:r>
          </w:p>
        </w:tc>
      </w:tr>
      <w:tr w:rsidR="0079520E" w:rsidRPr="00E43C41" w:rsidTr="004D7A37">
        <w:trPr>
          <w:trHeight w:val="283"/>
          <w:jc w:val="center"/>
        </w:trPr>
        <w:tc>
          <w:tcPr>
            <w:tcW w:w="5195" w:type="dxa"/>
            <w:tcBorders>
              <w:top w:val="nil"/>
              <w:bottom w:val="nil"/>
            </w:tcBorders>
            <w:shd w:val="clear" w:color="auto" w:fill="auto"/>
            <w:vAlign w:val="center"/>
          </w:tcPr>
          <w:p w:rsidR="0079520E" w:rsidRPr="00E43C41" w:rsidRDefault="0079520E" w:rsidP="00505159">
            <w:r w:rsidRPr="00E43C41">
              <w:t>Estabelecer uma atitude de “jogo limpo” (f</w:t>
            </w:r>
            <w:r w:rsidR="006F56CE">
              <w:t>air-play) entre os seus atletas</w:t>
            </w:r>
          </w:p>
        </w:tc>
        <w:tc>
          <w:tcPr>
            <w:tcW w:w="0" w:type="auto"/>
            <w:tcBorders>
              <w:top w:val="nil"/>
              <w:bottom w:val="nil"/>
            </w:tcBorders>
            <w:shd w:val="clear" w:color="auto" w:fill="auto"/>
            <w:vAlign w:val="center"/>
          </w:tcPr>
          <w:p w:rsidR="0079520E" w:rsidRPr="00E43C41" w:rsidRDefault="0079520E" w:rsidP="00505159">
            <w:pPr>
              <w:jc w:val="center"/>
            </w:pPr>
            <w:r w:rsidRPr="00E43C41">
              <w:t>8,61</w:t>
            </w:r>
          </w:p>
        </w:tc>
        <w:tc>
          <w:tcPr>
            <w:tcW w:w="0" w:type="auto"/>
            <w:tcBorders>
              <w:top w:val="nil"/>
              <w:bottom w:val="nil"/>
            </w:tcBorders>
            <w:shd w:val="clear" w:color="auto" w:fill="auto"/>
            <w:vAlign w:val="center"/>
          </w:tcPr>
          <w:p w:rsidR="0079520E" w:rsidRPr="00E43C41" w:rsidRDefault="0079520E" w:rsidP="00505159">
            <w:pPr>
              <w:jc w:val="center"/>
            </w:pPr>
            <w:r w:rsidRPr="00E43C41">
              <w:t>6,0</w:t>
            </w:r>
          </w:p>
        </w:tc>
        <w:tc>
          <w:tcPr>
            <w:tcW w:w="694" w:type="dxa"/>
            <w:tcBorders>
              <w:top w:val="nil"/>
              <w:bottom w:val="nil"/>
            </w:tcBorders>
            <w:shd w:val="clear" w:color="auto" w:fill="auto"/>
            <w:vAlign w:val="center"/>
          </w:tcPr>
          <w:p w:rsidR="0079520E" w:rsidRPr="00E43C41" w:rsidRDefault="0079520E" w:rsidP="00505159">
            <w:pPr>
              <w:jc w:val="center"/>
            </w:pPr>
            <w:r w:rsidRPr="00E43C41">
              <w:t>9,0</w:t>
            </w:r>
          </w:p>
        </w:tc>
      </w:tr>
      <w:tr w:rsidR="0079520E" w:rsidRPr="00E43C41" w:rsidTr="004D7A37">
        <w:trPr>
          <w:trHeight w:val="283"/>
          <w:jc w:val="center"/>
        </w:trPr>
        <w:tc>
          <w:tcPr>
            <w:tcW w:w="5195" w:type="dxa"/>
            <w:tcBorders>
              <w:top w:val="nil"/>
              <w:bottom w:val="nil"/>
            </w:tcBorders>
            <w:shd w:val="clear" w:color="auto" w:fill="auto"/>
            <w:vAlign w:val="center"/>
          </w:tcPr>
          <w:p w:rsidR="0079520E" w:rsidRPr="00E43C41" w:rsidRDefault="0079520E" w:rsidP="006F56CE">
            <w:r w:rsidRPr="00E43C41">
              <w:t>Promover um bom companheirismo no esporte</w:t>
            </w:r>
          </w:p>
        </w:tc>
        <w:tc>
          <w:tcPr>
            <w:tcW w:w="0" w:type="auto"/>
            <w:tcBorders>
              <w:top w:val="nil"/>
              <w:bottom w:val="nil"/>
            </w:tcBorders>
            <w:shd w:val="clear" w:color="auto" w:fill="auto"/>
            <w:vAlign w:val="center"/>
          </w:tcPr>
          <w:p w:rsidR="0079520E" w:rsidRPr="00E43C41" w:rsidRDefault="0079520E" w:rsidP="00505159">
            <w:pPr>
              <w:jc w:val="center"/>
            </w:pPr>
            <w:r w:rsidRPr="00E43C41">
              <w:t>8,52</w:t>
            </w:r>
          </w:p>
        </w:tc>
        <w:tc>
          <w:tcPr>
            <w:tcW w:w="0" w:type="auto"/>
            <w:tcBorders>
              <w:top w:val="nil"/>
              <w:bottom w:val="nil"/>
            </w:tcBorders>
            <w:shd w:val="clear" w:color="auto" w:fill="auto"/>
            <w:vAlign w:val="center"/>
          </w:tcPr>
          <w:p w:rsidR="0079520E" w:rsidRPr="00E43C41" w:rsidRDefault="0079520E" w:rsidP="00505159">
            <w:pPr>
              <w:jc w:val="center"/>
            </w:pPr>
            <w:r w:rsidRPr="00E43C41">
              <w:t>7,0</w:t>
            </w:r>
          </w:p>
        </w:tc>
        <w:tc>
          <w:tcPr>
            <w:tcW w:w="694" w:type="dxa"/>
            <w:tcBorders>
              <w:top w:val="nil"/>
              <w:bottom w:val="nil"/>
            </w:tcBorders>
            <w:shd w:val="clear" w:color="auto" w:fill="auto"/>
            <w:vAlign w:val="center"/>
          </w:tcPr>
          <w:p w:rsidR="0079520E" w:rsidRPr="00E43C41" w:rsidRDefault="0079520E" w:rsidP="00505159">
            <w:pPr>
              <w:jc w:val="center"/>
            </w:pPr>
            <w:r w:rsidRPr="00E43C41">
              <w:t>9,0</w:t>
            </w:r>
          </w:p>
        </w:tc>
      </w:tr>
      <w:tr w:rsidR="0079520E" w:rsidRPr="00E43C41" w:rsidTr="004D7A37">
        <w:trPr>
          <w:trHeight w:val="283"/>
          <w:jc w:val="center"/>
        </w:trPr>
        <w:tc>
          <w:tcPr>
            <w:tcW w:w="5195" w:type="dxa"/>
            <w:tcBorders>
              <w:top w:val="nil"/>
              <w:bottom w:val="single" w:sz="18" w:space="0" w:color="000000"/>
            </w:tcBorders>
            <w:shd w:val="clear" w:color="auto" w:fill="auto"/>
            <w:vAlign w:val="center"/>
          </w:tcPr>
          <w:p w:rsidR="0079520E" w:rsidRPr="00E43C41" w:rsidRDefault="0079520E" w:rsidP="006F56CE">
            <w:r w:rsidRPr="00E43C41">
              <w:t>Estabelecer uma atitude de respeito pelos outros</w:t>
            </w:r>
          </w:p>
        </w:tc>
        <w:tc>
          <w:tcPr>
            <w:tcW w:w="0" w:type="auto"/>
            <w:tcBorders>
              <w:top w:val="nil"/>
              <w:bottom w:val="single" w:sz="18" w:space="0" w:color="000000"/>
            </w:tcBorders>
            <w:shd w:val="clear" w:color="auto" w:fill="auto"/>
            <w:vAlign w:val="center"/>
          </w:tcPr>
          <w:p w:rsidR="0079520E" w:rsidRPr="00E43C41" w:rsidRDefault="0079520E" w:rsidP="00505159">
            <w:pPr>
              <w:jc w:val="center"/>
            </w:pPr>
            <w:r w:rsidRPr="00E43C41">
              <w:t>8,66</w:t>
            </w:r>
          </w:p>
        </w:tc>
        <w:tc>
          <w:tcPr>
            <w:tcW w:w="0" w:type="auto"/>
            <w:tcBorders>
              <w:top w:val="nil"/>
              <w:bottom w:val="single" w:sz="18" w:space="0" w:color="000000"/>
            </w:tcBorders>
            <w:shd w:val="clear" w:color="auto" w:fill="auto"/>
            <w:vAlign w:val="center"/>
          </w:tcPr>
          <w:p w:rsidR="0079520E" w:rsidRPr="00E43C41" w:rsidRDefault="0079520E" w:rsidP="00505159">
            <w:pPr>
              <w:jc w:val="center"/>
            </w:pPr>
            <w:r w:rsidRPr="00E43C41">
              <w:t>7,0</w:t>
            </w:r>
          </w:p>
        </w:tc>
        <w:tc>
          <w:tcPr>
            <w:tcW w:w="694" w:type="dxa"/>
            <w:tcBorders>
              <w:top w:val="nil"/>
              <w:bottom w:val="single" w:sz="18" w:space="0" w:color="000000"/>
            </w:tcBorders>
            <w:shd w:val="clear" w:color="auto" w:fill="auto"/>
            <w:vAlign w:val="center"/>
          </w:tcPr>
          <w:p w:rsidR="0079520E" w:rsidRPr="00E43C41" w:rsidRDefault="0079520E" w:rsidP="00505159">
            <w:pPr>
              <w:jc w:val="center"/>
            </w:pPr>
            <w:r w:rsidRPr="00E43C41">
              <w:t>9,0</w:t>
            </w:r>
          </w:p>
        </w:tc>
      </w:tr>
      <w:tr w:rsidR="0079520E" w:rsidRPr="00E43C41" w:rsidTr="004D7A37">
        <w:trPr>
          <w:trHeight w:val="40"/>
          <w:jc w:val="center"/>
        </w:trPr>
        <w:tc>
          <w:tcPr>
            <w:tcW w:w="5195" w:type="dxa"/>
            <w:tcBorders>
              <w:top w:val="single" w:sz="18" w:space="0" w:color="000000"/>
            </w:tcBorders>
            <w:shd w:val="clear" w:color="auto" w:fill="auto"/>
            <w:vAlign w:val="center"/>
          </w:tcPr>
          <w:p w:rsidR="0079520E" w:rsidRPr="00E43C41" w:rsidRDefault="0079520E" w:rsidP="00505159">
            <w:pPr>
              <w:jc w:val="center"/>
              <w:rPr>
                <w:b/>
              </w:rPr>
            </w:pPr>
            <w:r w:rsidRPr="00E43C41">
              <w:rPr>
                <w:b/>
              </w:rPr>
              <w:t>Total</w:t>
            </w:r>
          </w:p>
        </w:tc>
        <w:tc>
          <w:tcPr>
            <w:tcW w:w="0" w:type="auto"/>
            <w:tcBorders>
              <w:top w:val="single" w:sz="18" w:space="0" w:color="000000"/>
            </w:tcBorders>
            <w:shd w:val="clear" w:color="auto" w:fill="auto"/>
            <w:vAlign w:val="center"/>
          </w:tcPr>
          <w:p w:rsidR="0079520E" w:rsidRPr="00E43C41" w:rsidRDefault="0079520E" w:rsidP="00505159">
            <w:pPr>
              <w:jc w:val="center"/>
              <w:rPr>
                <w:b/>
              </w:rPr>
            </w:pPr>
            <w:r w:rsidRPr="00E43C41">
              <w:rPr>
                <w:b/>
              </w:rPr>
              <w:t>8,43</w:t>
            </w:r>
          </w:p>
        </w:tc>
        <w:tc>
          <w:tcPr>
            <w:tcW w:w="0" w:type="auto"/>
            <w:tcBorders>
              <w:top w:val="single" w:sz="18" w:space="0" w:color="000000"/>
            </w:tcBorders>
            <w:shd w:val="clear" w:color="auto" w:fill="auto"/>
            <w:vAlign w:val="center"/>
          </w:tcPr>
          <w:p w:rsidR="0079520E" w:rsidRPr="00E43C41" w:rsidRDefault="0079520E" w:rsidP="00505159">
            <w:pPr>
              <w:jc w:val="center"/>
              <w:rPr>
                <w:b/>
              </w:rPr>
            </w:pPr>
            <w:r w:rsidRPr="00E43C41">
              <w:rPr>
                <w:b/>
              </w:rPr>
              <w:t>6,0</w:t>
            </w:r>
          </w:p>
        </w:tc>
        <w:tc>
          <w:tcPr>
            <w:tcW w:w="694" w:type="dxa"/>
            <w:tcBorders>
              <w:top w:val="single" w:sz="18" w:space="0" w:color="000000"/>
            </w:tcBorders>
            <w:shd w:val="clear" w:color="auto" w:fill="auto"/>
            <w:vAlign w:val="center"/>
          </w:tcPr>
          <w:p w:rsidR="0079520E" w:rsidRPr="00E43C41" w:rsidRDefault="0079520E" w:rsidP="00505159">
            <w:pPr>
              <w:jc w:val="center"/>
              <w:rPr>
                <w:b/>
              </w:rPr>
            </w:pPr>
            <w:r w:rsidRPr="00E43C41">
              <w:rPr>
                <w:b/>
              </w:rPr>
              <w:t>9,0</w:t>
            </w:r>
          </w:p>
        </w:tc>
      </w:tr>
      <w:bookmarkEnd w:id="3"/>
    </w:tbl>
    <w:p w:rsidR="0079520E" w:rsidRPr="00E43C41" w:rsidRDefault="0079520E" w:rsidP="0079520E">
      <w:pPr>
        <w:spacing w:line="360" w:lineRule="auto"/>
        <w:ind w:firstLine="708"/>
      </w:pPr>
    </w:p>
    <w:p w:rsidR="0079520E" w:rsidRPr="00E43C41" w:rsidRDefault="004D7A37" w:rsidP="0079520E">
      <w:pPr>
        <w:spacing w:line="360" w:lineRule="auto"/>
        <w:ind w:firstLine="708"/>
      </w:pPr>
      <w:r>
        <w:t xml:space="preserve">Por fim, na Tabela 5 encontramos os valores relativos aos itens dimensão da eficácia para ensinar. Nessa dimensão, </w:t>
      </w:r>
      <w:r w:rsidR="0079520E" w:rsidRPr="00E43C41">
        <w:t>o item que apresentou a maior média na dimensão da eficácia técnica para ensinar foi</w:t>
      </w:r>
      <w:r>
        <w:t xml:space="preserve"> </w:t>
      </w:r>
      <w:r w:rsidR="0079520E" w:rsidRPr="00E43C41">
        <w:t>“Ensinar as habilidades do seu esporte”</w:t>
      </w:r>
      <w:r>
        <w:t xml:space="preserve">, </w:t>
      </w:r>
      <w:r w:rsidR="0079520E" w:rsidRPr="00E43C41">
        <w:t xml:space="preserve">enquanto que a menor média </w:t>
      </w:r>
      <w:r>
        <w:t>fi</w:t>
      </w:r>
      <w:r w:rsidR="0079520E" w:rsidRPr="00E43C41">
        <w:t>cou com o item “Reconhecer o talento nos atletas”.</w:t>
      </w:r>
    </w:p>
    <w:p w:rsidR="004D7A37" w:rsidRDefault="004D7A37" w:rsidP="004D7A37">
      <w:pPr>
        <w:spacing w:line="360" w:lineRule="auto"/>
        <w:jc w:val="center"/>
      </w:pPr>
    </w:p>
    <w:p w:rsidR="004D7A37" w:rsidRPr="00E3487E" w:rsidRDefault="004D7A37" w:rsidP="004D7A37">
      <w:pPr>
        <w:spacing w:line="360" w:lineRule="auto"/>
        <w:jc w:val="center"/>
      </w:pPr>
      <w:r w:rsidRPr="00E3487E">
        <w:t>Tabela 5: Média, Mínimo e Máximo d</w:t>
      </w:r>
      <w:r>
        <w:t>a Dimensão</w:t>
      </w:r>
      <w:r w:rsidRPr="00E3487E">
        <w:t xml:space="preserve"> da eficácia técnica para ensinar.</w:t>
      </w:r>
    </w:p>
    <w:tbl>
      <w:tblPr>
        <w:tblW w:w="7308" w:type="dxa"/>
        <w:jc w:val="center"/>
        <w:tblBorders>
          <w:top w:val="single" w:sz="12" w:space="0" w:color="000000"/>
          <w:bottom w:val="single" w:sz="12" w:space="0" w:color="000000"/>
        </w:tblBorders>
        <w:tblLook w:val="01E0"/>
      </w:tblPr>
      <w:tblGrid>
        <w:gridCol w:w="3888"/>
        <w:gridCol w:w="1080"/>
        <w:gridCol w:w="1080"/>
        <w:gridCol w:w="1260"/>
      </w:tblGrid>
      <w:tr w:rsidR="004D7A37" w:rsidRPr="00E3487E" w:rsidTr="004D7A37">
        <w:trPr>
          <w:jc w:val="center"/>
        </w:trPr>
        <w:tc>
          <w:tcPr>
            <w:tcW w:w="3888" w:type="dxa"/>
            <w:tcBorders>
              <w:top w:val="single" w:sz="12" w:space="0" w:color="000000"/>
              <w:bottom w:val="single" w:sz="12" w:space="0" w:color="000000"/>
            </w:tcBorders>
            <w:shd w:val="clear" w:color="auto" w:fill="auto"/>
            <w:vAlign w:val="center"/>
          </w:tcPr>
          <w:p w:rsidR="004D7A37" w:rsidRPr="00E3487E" w:rsidRDefault="004D7A37" w:rsidP="00A37D5F">
            <w:pPr>
              <w:jc w:val="center"/>
              <w:rPr>
                <w:bCs/>
              </w:rPr>
            </w:pPr>
            <w:bookmarkStart w:id="4" w:name="OLE_LINK5"/>
          </w:p>
        </w:tc>
        <w:tc>
          <w:tcPr>
            <w:tcW w:w="1080" w:type="dxa"/>
            <w:tcBorders>
              <w:top w:val="single" w:sz="12" w:space="0" w:color="000000"/>
              <w:bottom w:val="single" w:sz="12" w:space="0" w:color="000000"/>
            </w:tcBorders>
            <w:shd w:val="clear" w:color="auto" w:fill="auto"/>
            <w:vAlign w:val="center"/>
          </w:tcPr>
          <w:p w:rsidR="004D7A37" w:rsidRPr="00E3487E" w:rsidRDefault="004D7A37" w:rsidP="00A37D5F">
            <w:pPr>
              <w:jc w:val="center"/>
              <w:rPr>
                <w:bCs/>
              </w:rPr>
            </w:pPr>
            <w:r w:rsidRPr="00E3487E">
              <w:rPr>
                <w:bCs/>
              </w:rPr>
              <w:t>Média</w:t>
            </w:r>
          </w:p>
        </w:tc>
        <w:tc>
          <w:tcPr>
            <w:tcW w:w="1080" w:type="dxa"/>
            <w:tcBorders>
              <w:top w:val="single" w:sz="12" w:space="0" w:color="000000"/>
              <w:bottom w:val="single" w:sz="12" w:space="0" w:color="000000"/>
            </w:tcBorders>
            <w:shd w:val="clear" w:color="auto" w:fill="auto"/>
            <w:vAlign w:val="center"/>
          </w:tcPr>
          <w:p w:rsidR="004D7A37" w:rsidRPr="00E3487E" w:rsidRDefault="004D7A37" w:rsidP="00A37D5F">
            <w:pPr>
              <w:jc w:val="center"/>
              <w:rPr>
                <w:bCs/>
              </w:rPr>
            </w:pPr>
            <w:r w:rsidRPr="00E3487E">
              <w:rPr>
                <w:bCs/>
              </w:rPr>
              <w:t>Mínimo</w:t>
            </w:r>
          </w:p>
        </w:tc>
        <w:tc>
          <w:tcPr>
            <w:tcW w:w="1260" w:type="dxa"/>
            <w:tcBorders>
              <w:top w:val="single" w:sz="12" w:space="0" w:color="000000"/>
              <w:bottom w:val="single" w:sz="12" w:space="0" w:color="000000"/>
            </w:tcBorders>
            <w:shd w:val="clear" w:color="auto" w:fill="auto"/>
            <w:vAlign w:val="center"/>
          </w:tcPr>
          <w:p w:rsidR="004D7A37" w:rsidRPr="00E3487E" w:rsidRDefault="004D7A37" w:rsidP="00A37D5F">
            <w:pPr>
              <w:jc w:val="center"/>
              <w:rPr>
                <w:bCs/>
              </w:rPr>
            </w:pPr>
            <w:r w:rsidRPr="00E3487E">
              <w:rPr>
                <w:bCs/>
              </w:rPr>
              <w:t>Máximo</w:t>
            </w:r>
          </w:p>
        </w:tc>
      </w:tr>
      <w:tr w:rsidR="004D7A37" w:rsidRPr="00E43C41" w:rsidTr="004D7A37">
        <w:trPr>
          <w:jc w:val="center"/>
        </w:trPr>
        <w:tc>
          <w:tcPr>
            <w:tcW w:w="3888" w:type="dxa"/>
            <w:tcBorders>
              <w:top w:val="single" w:sz="12" w:space="0" w:color="000000"/>
              <w:bottom w:val="nil"/>
            </w:tcBorders>
            <w:shd w:val="clear" w:color="auto" w:fill="auto"/>
            <w:vAlign w:val="center"/>
          </w:tcPr>
          <w:p w:rsidR="004D7A37" w:rsidRPr="00E43C41" w:rsidRDefault="004D7A37" w:rsidP="004D7A37">
            <w:r w:rsidRPr="00E43C41">
              <w:t>Demonstrar as habilidades do seu esporte</w:t>
            </w:r>
          </w:p>
        </w:tc>
        <w:tc>
          <w:tcPr>
            <w:tcW w:w="1080" w:type="dxa"/>
            <w:tcBorders>
              <w:top w:val="single" w:sz="12" w:space="0" w:color="000000"/>
              <w:bottom w:val="nil"/>
            </w:tcBorders>
            <w:shd w:val="clear" w:color="auto" w:fill="auto"/>
            <w:vAlign w:val="center"/>
          </w:tcPr>
          <w:p w:rsidR="004D7A37" w:rsidRPr="00E43C41" w:rsidRDefault="004D7A37" w:rsidP="00A37D5F">
            <w:pPr>
              <w:jc w:val="center"/>
            </w:pPr>
            <w:r w:rsidRPr="00E43C41">
              <w:t>8,30</w:t>
            </w:r>
          </w:p>
        </w:tc>
        <w:tc>
          <w:tcPr>
            <w:tcW w:w="1080" w:type="dxa"/>
            <w:tcBorders>
              <w:top w:val="single" w:sz="12" w:space="0" w:color="000000"/>
              <w:bottom w:val="nil"/>
            </w:tcBorders>
            <w:shd w:val="clear" w:color="auto" w:fill="auto"/>
            <w:vAlign w:val="center"/>
          </w:tcPr>
          <w:p w:rsidR="004D7A37" w:rsidRPr="00E43C41" w:rsidRDefault="004D7A37" w:rsidP="00A37D5F">
            <w:pPr>
              <w:jc w:val="center"/>
            </w:pPr>
            <w:r w:rsidRPr="00E43C41">
              <w:t>6,0</w:t>
            </w:r>
          </w:p>
        </w:tc>
        <w:tc>
          <w:tcPr>
            <w:tcW w:w="1260" w:type="dxa"/>
            <w:tcBorders>
              <w:top w:val="single" w:sz="12" w:space="0" w:color="000000"/>
              <w:bottom w:val="nil"/>
            </w:tcBorders>
            <w:shd w:val="clear" w:color="auto" w:fill="auto"/>
            <w:vAlign w:val="center"/>
          </w:tcPr>
          <w:p w:rsidR="004D7A37" w:rsidRPr="00E43C41" w:rsidRDefault="004D7A37" w:rsidP="00A37D5F">
            <w:pPr>
              <w:jc w:val="center"/>
            </w:pPr>
            <w:r w:rsidRPr="00E43C41">
              <w:t>9,0</w:t>
            </w:r>
          </w:p>
        </w:tc>
      </w:tr>
      <w:tr w:rsidR="004D7A37" w:rsidRPr="00E43C41" w:rsidTr="004D7A37">
        <w:trPr>
          <w:jc w:val="center"/>
        </w:trPr>
        <w:tc>
          <w:tcPr>
            <w:tcW w:w="3888" w:type="dxa"/>
            <w:tcBorders>
              <w:top w:val="nil"/>
              <w:bottom w:val="nil"/>
            </w:tcBorders>
            <w:shd w:val="clear" w:color="auto" w:fill="auto"/>
            <w:vAlign w:val="center"/>
          </w:tcPr>
          <w:p w:rsidR="004D7A37" w:rsidRPr="00E43C41" w:rsidRDefault="004D7A37" w:rsidP="006F56CE">
            <w:r w:rsidRPr="00E43C41">
              <w:t>Reconhecer o talento nos atletas</w:t>
            </w:r>
          </w:p>
        </w:tc>
        <w:tc>
          <w:tcPr>
            <w:tcW w:w="1080" w:type="dxa"/>
            <w:tcBorders>
              <w:top w:val="nil"/>
              <w:bottom w:val="nil"/>
            </w:tcBorders>
            <w:shd w:val="clear" w:color="auto" w:fill="auto"/>
            <w:vAlign w:val="center"/>
          </w:tcPr>
          <w:p w:rsidR="004D7A37" w:rsidRPr="00E43C41" w:rsidRDefault="004D7A37" w:rsidP="00A37D5F">
            <w:pPr>
              <w:jc w:val="center"/>
            </w:pPr>
            <w:r w:rsidRPr="00E43C41">
              <w:t>8,16</w:t>
            </w:r>
          </w:p>
        </w:tc>
        <w:tc>
          <w:tcPr>
            <w:tcW w:w="1080" w:type="dxa"/>
            <w:tcBorders>
              <w:top w:val="nil"/>
              <w:bottom w:val="nil"/>
            </w:tcBorders>
            <w:shd w:val="clear" w:color="auto" w:fill="auto"/>
            <w:vAlign w:val="center"/>
          </w:tcPr>
          <w:p w:rsidR="004D7A37" w:rsidRPr="00E43C41" w:rsidRDefault="004D7A37" w:rsidP="00A37D5F">
            <w:pPr>
              <w:jc w:val="center"/>
            </w:pPr>
            <w:r w:rsidRPr="00E43C41">
              <w:t>7,0</w:t>
            </w:r>
          </w:p>
        </w:tc>
        <w:tc>
          <w:tcPr>
            <w:tcW w:w="1260" w:type="dxa"/>
            <w:tcBorders>
              <w:top w:val="nil"/>
              <w:bottom w:val="nil"/>
            </w:tcBorders>
            <w:shd w:val="clear" w:color="auto" w:fill="auto"/>
            <w:vAlign w:val="center"/>
          </w:tcPr>
          <w:p w:rsidR="004D7A37" w:rsidRPr="00E43C41" w:rsidRDefault="004D7A37" w:rsidP="00A37D5F">
            <w:pPr>
              <w:jc w:val="center"/>
            </w:pPr>
            <w:r w:rsidRPr="00E43C41">
              <w:t>9,0</w:t>
            </w:r>
          </w:p>
        </w:tc>
      </w:tr>
      <w:tr w:rsidR="004D7A37" w:rsidRPr="00E43C41" w:rsidTr="004D7A37">
        <w:trPr>
          <w:jc w:val="center"/>
        </w:trPr>
        <w:tc>
          <w:tcPr>
            <w:tcW w:w="3888" w:type="dxa"/>
            <w:tcBorders>
              <w:top w:val="nil"/>
            </w:tcBorders>
            <w:shd w:val="clear" w:color="auto" w:fill="auto"/>
            <w:vAlign w:val="center"/>
          </w:tcPr>
          <w:p w:rsidR="004D7A37" w:rsidRPr="00E43C41" w:rsidRDefault="004D7A37" w:rsidP="006F56CE">
            <w:r w:rsidRPr="00E43C41">
              <w:t>Ensinar as habilidades do seu esporte</w:t>
            </w:r>
          </w:p>
        </w:tc>
        <w:tc>
          <w:tcPr>
            <w:tcW w:w="1080" w:type="dxa"/>
            <w:tcBorders>
              <w:top w:val="nil"/>
            </w:tcBorders>
            <w:shd w:val="clear" w:color="auto" w:fill="auto"/>
            <w:vAlign w:val="center"/>
          </w:tcPr>
          <w:p w:rsidR="004D7A37" w:rsidRPr="00E43C41" w:rsidRDefault="004D7A37" w:rsidP="00A37D5F">
            <w:pPr>
              <w:jc w:val="center"/>
            </w:pPr>
            <w:r w:rsidRPr="00E43C41">
              <w:t>8,55</w:t>
            </w:r>
          </w:p>
        </w:tc>
        <w:tc>
          <w:tcPr>
            <w:tcW w:w="1080" w:type="dxa"/>
            <w:tcBorders>
              <w:top w:val="nil"/>
            </w:tcBorders>
            <w:shd w:val="clear" w:color="auto" w:fill="auto"/>
            <w:vAlign w:val="center"/>
          </w:tcPr>
          <w:p w:rsidR="004D7A37" w:rsidRPr="00E43C41" w:rsidRDefault="004D7A37" w:rsidP="00A37D5F">
            <w:pPr>
              <w:jc w:val="center"/>
            </w:pPr>
            <w:r w:rsidRPr="00E43C41">
              <w:t>7,0</w:t>
            </w:r>
          </w:p>
        </w:tc>
        <w:tc>
          <w:tcPr>
            <w:tcW w:w="1260" w:type="dxa"/>
            <w:tcBorders>
              <w:top w:val="nil"/>
            </w:tcBorders>
            <w:shd w:val="clear" w:color="auto" w:fill="auto"/>
            <w:vAlign w:val="center"/>
          </w:tcPr>
          <w:p w:rsidR="004D7A37" w:rsidRDefault="004D7A37" w:rsidP="00A37D5F">
            <w:pPr>
              <w:jc w:val="center"/>
            </w:pPr>
            <w:r w:rsidRPr="00E43C41">
              <w:t>9,0</w:t>
            </w:r>
          </w:p>
          <w:p w:rsidR="004D7A37" w:rsidRPr="00E43C41" w:rsidRDefault="004D7A37" w:rsidP="00A37D5F">
            <w:pPr>
              <w:jc w:val="center"/>
            </w:pPr>
          </w:p>
        </w:tc>
      </w:tr>
      <w:tr w:rsidR="004D7A37" w:rsidRPr="00E43C41" w:rsidTr="004D7A37">
        <w:trPr>
          <w:jc w:val="center"/>
        </w:trPr>
        <w:tc>
          <w:tcPr>
            <w:tcW w:w="3888" w:type="dxa"/>
            <w:shd w:val="clear" w:color="auto" w:fill="auto"/>
            <w:vAlign w:val="center"/>
          </w:tcPr>
          <w:p w:rsidR="004D7A37" w:rsidRPr="00E43C41" w:rsidRDefault="004D7A37" w:rsidP="004D7A37">
            <w:pPr>
              <w:jc w:val="center"/>
              <w:rPr>
                <w:b/>
              </w:rPr>
            </w:pPr>
            <w:r w:rsidRPr="00E43C41">
              <w:rPr>
                <w:b/>
              </w:rPr>
              <w:t>Total</w:t>
            </w:r>
          </w:p>
        </w:tc>
        <w:tc>
          <w:tcPr>
            <w:tcW w:w="1080" w:type="dxa"/>
            <w:shd w:val="clear" w:color="auto" w:fill="auto"/>
            <w:vAlign w:val="center"/>
          </w:tcPr>
          <w:p w:rsidR="004D7A37" w:rsidRPr="00E43C41" w:rsidRDefault="004D7A37" w:rsidP="004D7A37">
            <w:pPr>
              <w:jc w:val="center"/>
              <w:rPr>
                <w:b/>
              </w:rPr>
            </w:pPr>
            <w:r w:rsidRPr="00E43C41">
              <w:rPr>
                <w:b/>
              </w:rPr>
              <w:t>8,33</w:t>
            </w:r>
          </w:p>
        </w:tc>
        <w:tc>
          <w:tcPr>
            <w:tcW w:w="1080" w:type="dxa"/>
            <w:shd w:val="clear" w:color="auto" w:fill="auto"/>
            <w:vAlign w:val="center"/>
          </w:tcPr>
          <w:p w:rsidR="004D7A37" w:rsidRPr="00E43C41" w:rsidRDefault="004D7A37" w:rsidP="004D7A37">
            <w:pPr>
              <w:jc w:val="center"/>
              <w:rPr>
                <w:b/>
              </w:rPr>
            </w:pPr>
            <w:r w:rsidRPr="00E43C41">
              <w:rPr>
                <w:b/>
              </w:rPr>
              <w:t>6,66</w:t>
            </w:r>
          </w:p>
        </w:tc>
        <w:tc>
          <w:tcPr>
            <w:tcW w:w="1260" w:type="dxa"/>
            <w:shd w:val="clear" w:color="auto" w:fill="auto"/>
            <w:vAlign w:val="center"/>
          </w:tcPr>
          <w:p w:rsidR="004D7A37" w:rsidRPr="00E43C41" w:rsidRDefault="004D7A37" w:rsidP="004D7A37">
            <w:pPr>
              <w:jc w:val="center"/>
              <w:rPr>
                <w:b/>
              </w:rPr>
            </w:pPr>
            <w:r w:rsidRPr="00E43C41">
              <w:rPr>
                <w:b/>
              </w:rPr>
              <w:t>9,0</w:t>
            </w:r>
          </w:p>
        </w:tc>
      </w:tr>
    </w:tbl>
    <w:bookmarkEnd w:id="4"/>
    <w:p w:rsidR="0079520E" w:rsidRPr="00E43C41" w:rsidRDefault="0079520E" w:rsidP="0079520E">
      <w:pPr>
        <w:spacing w:line="360" w:lineRule="auto"/>
        <w:rPr>
          <w:b/>
        </w:rPr>
      </w:pPr>
      <w:r w:rsidRPr="00E43C41">
        <w:rPr>
          <w:b/>
        </w:rPr>
        <w:t>DISCUSSÃO</w:t>
      </w:r>
    </w:p>
    <w:p w:rsidR="0079520E" w:rsidRPr="00E43C41" w:rsidRDefault="0079520E" w:rsidP="0079520E">
      <w:pPr>
        <w:spacing w:line="360" w:lineRule="auto"/>
      </w:pPr>
    </w:p>
    <w:p w:rsidR="0079520E" w:rsidRPr="00E43C41" w:rsidRDefault="0079520E" w:rsidP="0079520E">
      <w:pPr>
        <w:spacing w:line="360" w:lineRule="auto"/>
        <w:ind w:firstLine="708"/>
      </w:pPr>
      <w:r w:rsidRPr="00E43C41">
        <w:t xml:space="preserve">Um dos principais aspectos da autoeficácia é sua relação com a motivação e com os tipos de resultados que os indivíduos esperam a partir do próprio desempenho, especificamente no caso dos técnicos, a autoeficácia se constitui como um dos fatores intervenientes na formação e na atuação profissional do mesmo. Neste estudo buscou-se mensurar o nível de autoeficácia de técnicos esportivos que atuam com equipes de treinamento, com o intuito de fazermos uma reflexão sobre o quanto e como o trabalho do técnico pode influenciar o aprendizado e </w:t>
      </w:r>
      <w:r w:rsidR="004D7A37">
        <w:t xml:space="preserve">o desempenho </w:t>
      </w:r>
      <w:r w:rsidRPr="00E43C41">
        <w:t xml:space="preserve">do atleta. </w:t>
      </w:r>
    </w:p>
    <w:p w:rsidR="000F5D87" w:rsidRDefault="0079520E" w:rsidP="0079520E">
      <w:pPr>
        <w:autoSpaceDE w:val="0"/>
        <w:autoSpaceDN w:val="0"/>
        <w:adjustRightInd w:val="0"/>
        <w:spacing w:line="360" w:lineRule="auto"/>
        <w:ind w:firstLine="708"/>
        <w:rPr>
          <w:rFonts w:eastAsia="GoudyStd"/>
        </w:rPr>
      </w:pPr>
      <w:r w:rsidRPr="00E43C41">
        <w:t>Assim, observamos que</w:t>
      </w:r>
      <w:r w:rsidR="000F5D87">
        <w:t>,</w:t>
      </w:r>
      <w:r w:rsidRPr="00E43C41">
        <w:t xml:space="preserve"> com relação à dimensão da eficácia para a motivação</w:t>
      </w:r>
      <w:r w:rsidR="000F5D87">
        <w:t>,</w:t>
      </w:r>
      <w:r w:rsidRPr="00E43C41">
        <w:t xml:space="preserve"> o</w:t>
      </w:r>
      <w:r w:rsidR="000F5D87">
        <w:t>s itens que receberam maior destaque</w:t>
      </w:r>
      <w:r w:rsidRPr="00E43C41">
        <w:t xml:space="preserve"> nos </w:t>
      </w:r>
      <w:r w:rsidR="000F5D87">
        <w:t>aponta para a reflexão de</w:t>
      </w:r>
      <w:r w:rsidRPr="00E43C41">
        <w:t xml:space="preserve"> que os técnicos participantes desse estudo possuem uma elevada crença em suas capacidades para fazer com o time se perceba confiante nas ações que desenvolve durante o jogo. </w:t>
      </w:r>
      <w:r w:rsidR="000F5D87">
        <w:t xml:space="preserve">Isso se coaduna com a </w:t>
      </w:r>
      <w:r w:rsidRPr="00E43C41">
        <w:t>definição dessa dimensão proposta por Feltz</w:t>
      </w:r>
      <w:r w:rsidR="00C935F4">
        <w:t xml:space="preserve"> et al. </w:t>
      </w:r>
      <w:r w:rsidRPr="00E43C41">
        <w:t xml:space="preserve">(1999) em que a crença de eficácia para a motivação está fundamentada na confiança que o técnico tem na sua capacidade de afetar as habilidades e os estados psicológicos de seus atletas. Uma explicação para a média atribuída pelos técnicos para essa dimensão pode estar relacionada às crenças que o próprio técnico possui acerca de seu papel como agente de motivação e exemplo perante o grupo de atletas.  Santos e Mesquita (2010) afirmam que </w:t>
      </w:r>
      <w:r w:rsidRPr="00E43C41">
        <w:rPr>
          <w:rFonts w:eastAsia="GoudyStd"/>
        </w:rPr>
        <w:t>a intervenção do treinador no processo de treino e de competição é multifacetada e desenvolvida em múltiplos contextos de pr</w:t>
      </w:r>
      <w:r w:rsidR="000F5D87">
        <w:rPr>
          <w:rFonts w:eastAsia="GoudyStd"/>
        </w:rPr>
        <w:t>á</w:t>
      </w:r>
      <w:r w:rsidRPr="00E43C41">
        <w:rPr>
          <w:rFonts w:eastAsia="GoudyStd"/>
        </w:rPr>
        <w:t xml:space="preserve">tica, requerendo, assim, o domínio de um largo e exigente leque de conhecimentos e competências. O que nos sinaliza que também o técnico necessita de um suporte adequado para que desenvolva suas </w:t>
      </w:r>
      <w:r w:rsidR="000F5D87">
        <w:rPr>
          <w:rFonts w:eastAsia="GoudyStd"/>
        </w:rPr>
        <w:t>potencialidades.</w:t>
      </w:r>
    </w:p>
    <w:p w:rsidR="0079520E" w:rsidRPr="00E43C41" w:rsidRDefault="0079520E" w:rsidP="0079520E">
      <w:pPr>
        <w:autoSpaceDE w:val="0"/>
        <w:autoSpaceDN w:val="0"/>
        <w:adjustRightInd w:val="0"/>
        <w:spacing w:line="360" w:lineRule="auto"/>
        <w:ind w:firstLine="708"/>
        <w:rPr>
          <w:rFonts w:eastAsia="GoudyStd"/>
        </w:rPr>
      </w:pPr>
      <w:r w:rsidRPr="00E43C41">
        <w:rPr>
          <w:rFonts w:eastAsia="GoudyStd"/>
        </w:rPr>
        <w:t>Quando pensamos nas contribuições da Psicologia do Esporte para o treinamento esportivo damos muita ênfase ao atleta e esquecemos que o treinador é uma peça fundamental nesse contexto. Vieira, Oliveira, Vissoci e Sonoo (2010) nos lembram de que os treinadores revelam-se figuras determinantes no desenvolvimento esportivo e pessoal dos praticantes e na sua adaptação à vida, desempenhando papéis diferenciados em cada uma das diferentes fases da carreira do atleta. Nesse sentido, a forma como os treinadores organizam a prática e as experiências de aprendizagem, o modo como eles fornecem feedback e dão reconhecimento, e ainda, suas estratégias de agrupamento dos atletas são elementos importantes em sua intervenção profissional, uma vez que podem contribuir para que o treinador consiga influen</w:t>
      </w:r>
      <w:r w:rsidR="000F5D87">
        <w:rPr>
          <w:rFonts w:eastAsia="GoudyStd"/>
        </w:rPr>
        <w:t>ciar positivamente seus atletas, especialmente como fonte de informação – persuasão verbal – para a autoeficácia individual e coletiva da equipe.</w:t>
      </w:r>
    </w:p>
    <w:p w:rsidR="0079520E" w:rsidRPr="00E43C41" w:rsidRDefault="0079520E" w:rsidP="0079520E">
      <w:pPr>
        <w:autoSpaceDE w:val="0"/>
        <w:autoSpaceDN w:val="0"/>
        <w:adjustRightInd w:val="0"/>
        <w:spacing w:line="360" w:lineRule="auto"/>
        <w:ind w:firstLine="708"/>
        <w:rPr>
          <w:rFonts w:eastAsia="GoudyStd"/>
        </w:rPr>
      </w:pPr>
      <w:r w:rsidRPr="00E43C41">
        <w:rPr>
          <w:rFonts w:eastAsia="GoudyStd"/>
        </w:rPr>
        <w:t>Estabelecendo relações com o processo de preparação profissional, esses resultados fornecem indicações para refletir sobre o papel que as disciplinas e os saberes vinculados a elas exercem quanto às estratégias que os futuros técnicos esportivos podem desenvolver para potencializar não apenas o próprio desenvolvimento, mas também o desenvolvimento dos atletas que orienta. Nessa direção, significa que o conhecimento do técnico poderá ser traduzido em orientações seguras que superem a reprodução das próprias experiências passadas como atleta. O conhecimento das disciplinas do campo das ciências humanas e, dentre elas, o das psicologias estudadas durante a graduação, poderá ser um ponto de partida para ressignificar o papel do técnico como agente mediador entre as próprias expectativas, o atleta, o contexto e as ações decorrentes desse complexo processo</w:t>
      </w:r>
      <w:r w:rsidR="000F5D87">
        <w:rPr>
          <w:rFonts w:eastAsia="GoudyStd"/>
        </w:rPr>
        <w:t xml:space="preserve"> (IAOCHITE, AZZI, LARGURA, SADALLA, 2004)</w:t>
      </w:r>
      <w:r w:rsidRPr="00E43C41">
        <w:rPr>
          <w:rFonts w:eastAsia="GoudyStd"/>
        </w:rPr>
        <w:t xml:space="preserve">.  </w:t>
      </w:r>
    </w:p>
    <w:p w:rsidR="0079520E" w:rsidRPr="00E43C41" w:rsidRDefault="0079520E" w:rsidP="000E64FC">
      <w:pPr>
        <w:autoSpaceDE w:val="0"/>
        <w:autoSpaceDN w:val="0"/>
        <w:adjustRightInd w:val="0"/>
        <w:spacing w:line="360" w:lineRule="auto"/>
        <w:ind w:firstLine="708"/>
      </w:pPr>
      <w:r w:rsidRPr="00E43C41">
        <w:t xml:space="preserve">A dimensão da eficácia para estratégia de jogo, </w:t>
      </w:r>
      <w:r w:rsidR="000E64FC">
        <w:t>o</w:t>
      </w:r>
      <w:r w:rsidRPr="00E43C41">
        <w:t xml:space="preserve"> que se pode perceber e mesmo especular diante dos itens que apresentaram as menores médias, é que os técnicos sentiram-se ligeiramente menos capazes para gerenciar situações imprevistas.</w:t>
      </w:r>
      <w:r w:rsidR="000E64FC">
        <w:t xml:space="preserve"> </w:t>
      </w:r>
      <w:r w:rsidRPr="00E43C41">
        <w:t>Lidar com a imprevisibilidade no contexto esportivo e dar conta de responder as demandas que lhe são apresentadas ao longo do caminho são atributos indispensáveis para um profissional que busca o sucesso. A nosso ver a aquisição desses atributos está intimamente relacionada à formação e a preparação que este profissional vem recebendo ao longo de sua carreira. Sobre esse tópico, é possível questionarmos: como o imprevisto tem sido discutido durante a formação profissional? Há espaço para se discutir e se preparar para a imprevisibilidade no esporte ou no processo ensino-aprendizagem? Quais conhecimentos são necessários e que oferecem suporte teórico e prático para lidar com a imprevisibilidade? Não estaria a formação inicial em Educação Física, especificamente a grade curricular ligada aos conteúdos esportivos e as metodologias de ensino, reforçando as situações ideais de ensino, em contrapartida das situações reais em que a diversidade de habilidades, interesse e finalidades está a todo momento presente?</w:t>
      </w:r>
    </w:p>
    <w:p w:rsidR="0079520E" w:rsidRPr="00E43C41" w:rsidRDefault="0079520E" w:rsidP="0079520E">
      <w:pPr>
        <w:spacing w:line="360" w:lineRule="auto"/>
        <w:ind w:firstLine="708"/>
      </w:pPr>
      <w:r w:rsidRPr="00E43C41">
        <w:t xml:space="preserve">Em face disso, acreditamos que tanto as Instituições que são responsáveis pela formação do profissional quanto o próprio profissional devam procurar meios para uma formação de qualidade, que lhe proporcione os elementos necessários para uma prática profissional de sucesso, e </w:t>
      </w:r>
      <w:r w:rsidRPr="00E43C41">
        <w:tab/>
        <w:t>que ainda, sejam capazes de “exercitar” os atributos e as demandas que serão exigidos no dia a dia da carreira. Repensar a formação de treinadores com base em novas perspectivas, considerando os atuais desenvolvimentos internacionais é, hoje, essencial. Esta reflexão enfatiza a necessidade de uma formação voltada para o desenvolvimento pessoal, técnico e cultural, científico e pedagógico, caracterizando os diversos modelos e estruturas de formação (ROSADO</w:t>
      </w:r>
      <w:r w:rsidR="00815DF6">
        <w:t xml:space="preserve"> e</w:t>
      </w:r>
      <w:r w:rsidRPr="00E43C41">
        <w:t xml:space="preserve"> MESQUITA, 2007).</w:t>
      </w:r>
    </w:p>
    <w:p w:rsidR="00FB243D" w:rsidRDefault="0079520E" w:rsidP="0079520E">
      <w:pPr>
        <w:spacing w:line="360" w:lineRule="auto"/>
        <w:ind w:firstLine="708"/>
      </w:pPr>
      <w:r w:rsidRPr="00E43C41">
        <w:t xml:space="preserve">Já a dimensão da eficácia para formação do caráter, </w:t>
      </w:r>
      <w:r w:rsidR="00FB243D">
        <w:t xml:space="preserve">ao apresentar a maior pontuação em relação às outras dimensões da escala, </w:t>
      </w:r>
      <w:r w:rsidRPr="00E43C41">
        <w:t>denota a elevada crença do técnico em sua capacidade de influenciar o desenvolvimento pessoal e as atitudes positivas para com o esporte em seus atletas</w:t>
      </w:r>
      <w:r w:rsidR="00FB243D">
        <w:t xml:space="preserve">, conforme ocorrido no estudo de </w:t>
      </w:r>
      <w:r w:rsidRPr="00E43C41">
        <w:t>Fung (2003)</w:t>
      </w:r>
      <w:r w:rsidR="00FB243D">
        <w:t>.</w:t>
      </w:r>
      <w:r w:rsidRPr="00E43C41">
        <w:t xml:space="preserve"> De certa forma, essa dimensão pode estar relacionada </w:t>
      </w:r>
      <w:r w:rsidR="00FB243D">
        <w:t>com diferentes fontes que possam ter contribuído para a</w:t>
      </w:r>
      <w:r w:rsidRPr="00E43C41">
        <w:t xml:space="preserve"> preparação e experiência como técnico</w:t>
      </w:r>
      <w:r w:rsidR="00FB243D">
        <w:t>, bem como o registro dos</w:t>
      </w:r>
      <w:r w:rsidRPr="00E43C41">
        <w:t xml:space="preserve"> sucessos anteriores. Isso nos faz refletir que</w:t>
      </w:r>
      <w:r w:rsidR="00FB243D">
        <w:t>,</w:t>
      </w:r>
      <w:r w:rsidRPr="00E43C41">
        <w:t xml:space="preserve"> se por um lado o papel do treinador é de extrema importância na formação e no desenvolvimento integral dos atletas</w:t>
      </w:r>
      <w:r w:rsidR="00FB243D">
        <w:t>, p</w:t>
      </w:r>
      <w:r w:rsidRPr="00E43C41">
        <w:t>roporcionar que o atleta encontre um nível adequado de desenvolvimento pessoal</w:t>
      </w:r>
      <w:r w:rsidR="00FB243D">
        <w:t xml:space="preserve"> e técnico está, também, atrelada ao papel do técnico. </w:t>
      </w:r>
      <w:r w:rsidRPr="00E43C41">
        <w:t>Nesse sentido, estarão implícitos os valores que acredita e gerencia em seu comportamento</w:t>
      </w:r>
      <w:r w:rsidR="00FB243D">
        <w:t>, bem como a maneira como ele os demonstra</w:t>
      </w:r>
      <w:r w:rsidRPr="00E43C41">
        <w:t xml:space="preserve"> e</w:t>
      </w:r>
      <w:r w:rsidR="00FB243D">
        <w:t>m</w:t>
      </w:r>
      <w:r w:rsidRPr="00E43C41">
        <w:t xml:space="preserve"> sua conduta </w:t>
      </w:r>
      <w:r w:rsidR="00FB243D">
        <w:t>contribui</w:t>
      </w:r>
      <w:r w:rsidRPr="00E43C41">
        <w:t xml:space="preserve"> para influenciar e interferir na sua carreira e na vida pessoal do atleta (MACHADO, 2010). Assim, é importante entender que a busca contínua pelo rendimento deve ocorrer objetivando um treinamento de qualidade que não venha a comprometer a saúde e a integridade psicofisiológica e social do atleta (BARRA FILHO </w:t>
      </w:r>
      <w:r w:rsidR="00C935F4">
        <w:t>e</w:t>
      </w:r>
      <w:r w:rsidR="00FB243D">
        <w:t xml:space="preserve"> FREITAS, 2010).</w:t>
      </w:r>
    </w:p>
    <w:p w:rsidR="0079520E" w:rsidRPr="00E43C41" w:rsidRDefault="0079520E" w:rsidP="0079520E">
      <w:pPr>
        <w:spacing w:line="360" w:lineRule="auto"/>
        <w:ind w:firstLine="708"/>
      </w:pPr>
      <w:r w:rsidRPr="00E43C41">
        <w:t xml:space="preserve">No contexto da formação inicial, é possível retomar o papel do currículo como um espaço que possibilita o desenvolvimento dos diferentes saberes ligados à formação humana. Encontrar espaços para reconhecer, planejar, discutir como ensinar atitudes e valores no campo esportivo requer a apropriação de um conjunto de saberes e competências que, vinculadas aos outros domínios – motor, cognitivo, afetivo – podem contribuir para uma mudança das ações que técnicos realizam no cotidiano de suas práticas.  </w:t>
      </w:r>
    </w:p>
    <w:p w:rsidR="0079520E" w:rsidRPr="00E43C41" w:rsidRDefault="0079520E" w:rsidP="0079520E">
      <w:pPr>
        <w:spacing w:line="360" w:lineRule="auto"/>
        <w:ind w:firstLine="708"/>
      </w:pPr>
      <w:r w:rsidRPr="00E43C41">
        <w:t xml:space="preserve">Finalmente, a dimensão da eficácia técnica para ensinar, a autoeficácia nessa dimensão está relacionada à crença que os técnicos têm na sua capacidade de instrução e </w:t>
      </w:r>
      <w:r w:rsidR="00FB243D">
        <w:t xml:space="preserve">de </w:t>
      </w:r>
      <w:r w:rsidRPr="00E43C41">
        <w:t xml:space="preserve">diagnóstico. A necessidade de treinadores qualificados tem crescido de forma exponencial na nossa sociedade, contrariando a crença geral de que não há qualquer requisito mínimo para ser técnico esportivo, desde que o deseje e que o passado desportivo o permita (ROSADO e MESQUITA, 2007). </w:t>
      </w:r>
      <w:r w:rsidRPr="00E43C41">
        <w:rPr>
          <w:rFonts w:eastAsia="GoudyStd"/>
        </w:rPr>
        <w:t>Isso significa que os cursos de preparação profissional podem oferecer espaços no currículo para o desenvolvimento de competências pedagógicas para serem vivenciadas ainda na formação inicial (NASCIMENTO, RAMOS, MARCON, SAAD e COLLET, 2009).</w:t>
      </w:r>
    </w:p>
    <w:p w:rsidR="0079520E" w:rsidRPr="00E43C41" w:rsidRDefault="0079520E" w:rsidP="0079520E">
      <w:pPr>
        <w:spacing w:line="360" w:lineRule="auto"/>
        <w:ind w:firstLine="708"/>
      </w:pPr>
      <w:r w:rsidRPr="00E43C41">
        <w:t xml:space="preserve">De modo geral os técnicos envolvidos nesse estudo apresentaram elevados níveis na </w:t>
      </w:r>
      <w:r w:rsidR="00FD2953">
        <w:t>autoeficácia do técnico esportivo</w:t>
      </w:r>
      <w:r w:rsidRPr="00E43C41">
        <w:t>. Acredita-se que os técnicos que se sentem mais eficazes, são os que demonstrem habilidades táticas mais eficientes, usem técnicas de retorno de motivação e correção mais eficientes, além de demonstrarem mais compromisso e devoção de tempo ao treinamento. Acredita-se também que esses técnicos possuam jogadores mais satisfeitos com seu trabalho, que esses jogadores sejam mais eficazes e mais motivados. E que esses técnicos conduzam seus times a atuações mais bem sucedidas que os técnicos com baixo nível de autoeficácia (FELTZ</w:t>
      </w:r>
      <w:r w:rsidR="00C935F4">
        <w:t xml:space="preserve"> et al., 1999)</w:t>
      </w:r>
      <w:r w:rsidRPr="00E43C41">
        <w:t>. Além disso, percebe-se que dos acertos e erros do técnico esportivo dependem, em grande medida, o sucesso, a satisfação e o interesse em continuar daqueles que participam de sua trajetória profissional.</w:t>
      </w:r>
    </w:p>
    <w:p w:rsidR="0079520E" w:rsidRPr="00E43C41" w:rsidRDefault="0079520E" w:rsidP="0079520E">
      <w:pPr>
        <w:tabs>
          <w:tab w:val="center" w:pos="4252"/>
          <w:tab w:val="left" w:pos="6930"/>
        </w:tabs>
        <w:spacing w:line="360" w:lineRule="auto"/>
        <w:rPr>
          <w:b/>
        </w:rPr>
      </w:pPr>
    </w:p>
    <w:p w:rsidR="0079520E" w:rsidRPr="00E43C41" w:rsidRDefault="0079520E" w:rsidP="0079520E">
      <w:pPr>
        <w:tabs>
          <w:tab w:val="center" w:pos="4252"/>
          <w:tab w:val="left" w:pos="6930"/>
        </w:tabs>
        <w:spacing w:line="360" w:lineRule="auto"/>
        <w:rPr>
          <w:b/>
        </w:rPr>
      </w:pPr>
      <w:r w:rsidRPr="00E43C41">
        <w:rPr>
          <w:b/>
        </w:rPr>
        <w:t>CON</w:t>
      </w:r>
      <w:r w:rsidR="0045689B">
        <w:rPr>
          <w:b/>
        </w:rPr>
        <w:t>SIDERAÇÕES FINAIS</w:t>
      </w:r>
    </w:p>
    <w:p w:rsidR="0079520E" w:rsidRPr="00E43C41" w:rsidRDefault="0079520E" w:rsidP="0079520E">
      <w:pPr>
        <w:spacing w:line="360" w:lineRule="auto"/>
        <w:ind w:firstLine="708"/>
      </w:pPr>
    </w:p>
    <w:p w:rsidR="0079520E" w:rsidRPr="00E43C41" w:rsidRDefault="0079520E" w:rsidP="0079520E">
      <w:pPr>
        <w:spacing w:line="360" w:lineRule="auto"/>
        <w:ind w:firstLine="708"/>
      </w:pPr>
      <w:r w:rsidRPr="00E43C41">
        <w:t xml:space="preserve">Este estudo teve como objetivos identificar as crenças de </w:t>
      </w:r>
      <w:r w:rsidR="00FD2953">
        <w:t>autoeficácia do técnico esportivo</w:t>
      </w:r>
      <w:r w:rsidRPr="00E43C41">
        <w:t xml:space="preserve"> atuante em equipes de treinamento. A carência de estudos nessa área vem nos sinalizar a relevância de estudos como esse, por se tratar, inclusive, da utilização de instrumentos construídos a partir de um referencial teórico empiricamente bem estabelecido e pouco conhecido no cenário brasileiro.</w:t>
      </w:r>
    </w:p>
    <w:p w:rsidR="0079520E" w:rsidRPr="00E43C41" w:rsidRDefault="0079520E" w:rsidP="0079520E">
      <w:pPr>
        <w:spacing w:line="360" w:lineRule="auto"/>
        <w:ind w:firstLine="708"/>
      </w:pPr>
      <w:r w:rsidRPr="00E43C41">
        <w:t xml:space="preserve">A literatura nos mostra que a crença de autoeficácia está intimamente ligada à motivação, influenciando o comportamento do indivíduo. </w:t>
      </w:r>
      <w:r w:rsidR="00D8430B">
        <w:t>Pelo pressuposto teórico, c</w:t>
      </w:r>
      <w:r w:rsidRPr="00E43C41">
        <w:t xml:space="preserve">om fortes crenças de autoeficácia, o esforço imprimido pelo indivíduo </w:t>
      </w:r>
      <w:r w:rsidR="00D8430B">
        <w:t>tende a fazer-se</w:t>
      </w:r>
      <w:r w:rsidRPr="00E43C41">
        <w:t xml:space="preserve"> presente desde o início e ao longo de todo o processo, </w:t>
      </w:r>
      <w:r w:rsidR="00D8430B">
        <w:t xml:space="preserve">de maneira a demonstrar </w:t>
      </w:r>
      <w:r w:rsidRPr="00E43C41">
        <w:t>maior persistência, mesmo que apareçam dificuldades e obstáculos.</w:t>
      </w:r>
    </w:p>
    <w:p w:rsidR="00D8430B" w:rsidRDefault="0079520E" w:rsidP="0079520E">
      <w:pPr>
        <w:autoSpaceDE w:val="0"/>
        <w:autoSpaceDN w:val="0"/>
        <w:adjustRightInd w:val="0"/>
        <w:spacing w:line="360" w:lineRule="auto"/>
        <w:ind w:firstLine="708"/>
      </w:pPr>
      <w:r w:rsidRPr="00E43C41">
        <w:t xml:space="preserve">Este estudo traz a possibilidade de refletir sobre a formação profissional do técnico no que diz respeito à formação dessa confiança para agir no campo profissional do esporte. </w:t>
      </w:r>
      <w:r w:rsidR="00D8430B">
        <w:t xml:space="preserve">Estudos no referencial teórico proposto por Albert Bandura tem aumentado significativamente no cenário brasileiro, porém, no campo da formação profissional em Educação Física, estamos, ainda, numa fase exploratória do ponto de vista empírico. Nessa direção, é importante sinalizar o papel </w:t>
      </w:r>
      <w:r w:rsidR="003C2DB0">
        <w:t>desse referencial na formação inicial do profissional de Educação Física, considerando ainda, a importância das disciplinas ligadas às ciências humanas como possibilidade de uma formação integral, que contemple o humano, a pessoa em suas dimensões e potencialidades. É esperado (e estudos tem demonstrado isso) que essa formação tenha algum impacto na prática desses profissionais. Esse impacto será um dos fatores que, consequentemente, contribuirão para os resultados no desenvolvimento e desempenho dos atletas, dos técnicos, dos clubes, equipes e dos setores ligados a esse campo. Acreditamos que o investimento nessa formação não é em vão e poderá fazer a diferença para o esporte no cenário nacional e internacional.</w:t>
      </w:r>
    </w:p>
    <w:p w:rsidR="0079520E" w:rsidRPr="00E43C41" w:rsidRDefault="0079520E" w:rsidP="0079520E">
      <w:pPr>
        <w:autoSpaceDE w:val="0"/>
        <w:autoSpaceDN w:val="0"/>
        <w:adjustRightInd w:val="0"/>
        <w:spacing w:line="360" w:lineRule="auto"/>
        <w:ind w:firstLine="708"/>
      </w:pPr>
      <w:r w:rsidRPr="00E43C41">
        <w:t>Até o momento, sabe-se que há muitos modelos de formação profissional focados apenas na otimização do rendimento esportivo, constituindo-se deste modo como uma formação tecnicista, elementar e insuficiente. Na contraposição desses modelos, há que se incentivar o surgimento necessário de modelos que busquem garantir o atendimento das reais necessidades de formação, ultrapassando as barreiras que afetam o desenvolvimento profissional, a formação contínua e o desenvolvimento de atitudes e crenças pessoais mais proativas.</w:t>
      </w:r>
    </w:p>
    <w:p w:rsidR="0079520E" w:rsidRPr="00E43C41" w:rsidRDefault="0079520E" w:rsidP="0079520E">
      <w:pPr>
        <w:autoSpaceDE w:val="0"/>
        <w:autoSpaceDN w:val="0"/>
        <w:adjustRightInd w:val="0"/>
        <w:spacing w:line="360" w:lineRule="auto"/>
        <w:ind w:firstLine="708"/>
      </w:pPr>
      <w:r w:rsidRPr="00E43C41">
        <w:t xml:space="preserve">Por fim, há que se ressaltar que os resultados sejam analisados com cuidado, dado o tamanho da amostra e a forma exploratória de análise. Os dados foram discutidos em função dos itens postos no instrumento, de maneira que o original está validado numa cultura diferente da realidade brasileira. Contribuições interessantes nessa direção poderão vir de abordagens qualitativas de investigação e que possam fornecem orientações importantes acerca de como essas crenças estão sendo construídas e desenvolvidas nos cursos de preparação profissional em Educação Física. </w:t>
      </w:r>
    </w:p>
    <w:p w:rsidR="0079520E" w:rsidRPr="00E43C41" w:rsidRDefault="0079520E" w:rsidP="0079520E">
      <w:pPr>
        <w:spacing w:line="360" w:lineRule="auto"/>
        <w:rPr>
          <w:b/>
        </w:rPr>
      </w:pPr>
    </w:p>
    <w:p w:rsidR="0079520E" w:rsidRPr="00E43C41" w:rsidRDefault="001340A2" w:rsidP="0079520E">
      <w:pPr>
        <w:spacing w:line="360" w:lineRule="auto"/>
        <w:rPr>
          <w:b/>
        </w:rPr>
      </w:pPr>
      <w:r>
        <w:rPr>
          <w:b/>
        </w:rPr>
        <w:t>REFERÊNCIAS</w:t>
      </w:r>
    </w:p>
    <w:p w:rsidR="0079520E" w:rsidRPr="00E43C41" w:rsidRDefault="0079520E" w:rsidP="00C935F4">
      <w:pPr>
        <w:rPr>
          <w:lang w:val="en-US"/>
        </w:rPr>
      </w:pPr>
      <w:r w:rsidRPr="00E43C41">
        <w:t>AZZI, R</w:t>
      </w:r>
      <w:r w:rsidR="00A332F6">
        <w:t xml:space="preserve">. </w:t>
      </w:r>
      <w:r w:rsidRPr="00E43C41">
        <w:t>G</w:t>
      </w:r>
      <w:r w:rsidR="00A332F6">
        <w:t>.,</w:t>
      </w:r>
      <w:r w:rsidRPr="00E43C41">
        <w:t xml:space="preserve"> POLYDORO, S</w:t>
      </w:r>
      <w:r w:rsidR="00A332F6">
        <w:t>.</w:t>
      </w:r>
      <w:r w:rsidRPr="00E43C41">
        <w:t xml:space="preserve"> A</w:t>
      </w:r>
      <w:r w:rsidR="00A332F6">
        <w:t>.</w:t>
      </w:r>
      <w:r w:rsidRPr="00E43C41">
        <w:t xml:space="preserve"> J</w:t>
      </w:r>
      <w:r w:rsidR="00A332F6">
        <w:t>.</w:t>
      </w:r>
      <w:r w:rsidRPr="00E43C41">
        <w:t xml:space="preserve"> (org). </w:t>
      </w:r>
      <w:r w:rsidRPr="00E43C41">
        <w:rPr>
          <w:b/>
        </w:rPr>
        <w:t xml:space="preserve">Auto-eficácia em diferentes contextos. </w:t>
      </w:r>
      <w:r w:rsidRPr="00E43C41">
        <w:rPr>
          <w:lang w:val="en-US"/>
        </w:rPr>
        <w:t>Campinas: Alínea, 2006.</w:t>
      </w:r>
    </w:p>
    <w:p w:rsidR="0079520E" w:rsidRPr="00E43C41" w:rsidRDefault="0079520E" w:rsidP="00C935F4">
      <w:pPr>
        <w:rPr>
          <w:lang w:val="en-US"/>
        </w:rPr>
      </w:pPr>
    </w:p>
    <w:p w:rsidR="0079520E" w:rsidRPr="00E43C41" w:rsidRDefault="0079520E" w:rsidP="00C935F4">
      <w:pPr>
        <w:rPr>
          <w:lang w:val="en-US"/>
        </w:rPr>
      </w:pPr>
      <w:r w:rsidRPr="00E43C41">
        <w:rPr>
          <w:lang w:val="en-US"/>
        </w:rPr>
        <w:t>BANDURA, A</w:t>
      </w:r>
      <w:r w:rsidR="00A332F6">
        <w:rPr>
          <w:lang w:val="en-US"/>
        </w:rPr>
        <w:t>.</w:t>
      </w:r>
      <w:r w:rsidRPr="00E43C41">
        <w:rPr>
          <w:lang w:val="en-US"/>
        </w:rPr>
        <w:t xml:space="preserve"> </w:t>
      </w:r>
      <w:r w:rsidRPr="00E43C41">
        <w:rPr>
          <w:b/>
          <w:bCs/>
          <w:lang w:val="en-US"/>
        </w:rPr>
        <w:t>Self-efficacy: the exercise of control</w:t>
      </w:r>
      <w:r w:rsidRPr="00E43C41">
        <w:rPr>
          <w:lang w:val="en-US"/>
        </w:rPr>
        <w:t>. New York: Freeman, 1997.</w:t>
      </w:r>
    </w:p>
    <w:p w:rsidR="0079520E" w:rsidRPr="00E43C41" w:rsidRDefault="0079520E" w:rsidP="00C935F4">
      <w:pPr>
        <w:rPr>
          <w:lang w:val="en-US"/>
        </w:rPr>
      </w:pPr>
    </w:p>
    <w:p w:rsidR="0079520E" w:rsidRDefault="0079520E" w:rsidP="00C935F4">
      <w:r w:rsidRPr="00E31164">
        <w:t>BARRA FILHO, M.</w:t>
      </w:r>
      <w:r w:rsidR="00A332F6">
        <w:t>,</w:t>
      </w:r>
      <w:r w:rsidRPr="00E31164">
        <w:t xml:space="preserve"> </w:t>
      </w:r>
      <w:r w:rsidRPr="00E43C41">
        <w:t>FREITAS, D</w:t>
      </w:r>
      <w:r w:rsidR="00A332F6">
        <w:t>.</w:t>
      </w:r>
      <w:r w:rsidRPr="00E43C41">
        <w:t xml:space="preserve"> S</w:t>
      </w:r>
      <w:r w:rsidR="00A332F6">
        <w:t>.</w:t>
      </w:r>
      <w:r w:rsidRPr="00E43C41">
        <w:t xml:space="preserve"> A problemática do Overtrainning no Esporte: Implicações para o treinador. In: BRANDÃO, MRF; MACHADO, A.A. (Org.). </w:t>
      </w:r>
      <w:r w:rsidRPr="00E43C41">
        <w:rPr>
          <w:b/>
          <w:bCs/>
        </w:rPr>
        <w:t xml:space="preserve">Coleção Psicologia do Esporte e do Exercício: </w:t>
      </w:r>
      <w:r w:rsidRPr="00E43C41">
        <w:t>O Treinador e a Psicologia do Esporte</w:t>
      </w:r>
      <w:r w:rsidRPr="00E43C41">
        <w:rPr>
          <w:b/>
          <w:bCs/>
        </w:rPr>
        <w:t xml:space="preserve">. </w:t>
      </w:r>
      <w:r w:rsidRPr="00E43C41">
        <w:t>1. ed. São Paulo: Atheneu, 2010, v.4, p. 99-114.</w:t>
      </w:r>
    </w:p>
    <w:p w:rsidR="003574F3" w:rsidRDefault="003574F3" w:rsidP="00C935F4"/>
    <w:p w:rsidR="003574F3" w:rsidRDefault="003574F3" w:rsidP="00C935F4">
      <w:r>
        <w:t xml:space="preserve">BRASIL, </w:t>
      </w:r>
      <w:r w:rsidR="001340A2" w:rsidRPr="001340A2">
        <w:t xml:space="preserve">Conselho Nacional de Educação. </w:t>
      </w:r>
      <w:r w:rsidR="001340A2" w:rsidRPr="001340A2">
        <w:rPr>
          <w:b/>
        </w:rPr>
        <w:t>Resolução CNE/CSE n. 7</w:t>
      </w:r>
      <w:r w:rsidR="001340A2" w:rsidRPr="001340A2">
        <w:t>, de 31 de março de 2004.</w:t>
      </w:r>
    </w:p>
    <w:p w:rsidR="001340A2" w:rsidRDefault="001340A2" w:rsidP="00C935F4"/>
    <w:p w:rsidR="001340A2" w:rsidRPr="00E43C41" w:rsidRDefault="001340A2" w:rsidP="001340A2">
      <w:r>
        <w:t xml:space="preserve">CONSELHO FEDERAL DE EDUCAÇÃO FÍSICA. CONFEF. </w:t>
      </w:r>
      <w:r w:rsidRPr="001340A2">
        <w:rPr>
          <w:b/>
        </w:rPr>
        <w:t>Formação Superior em Educação Física</w:t>
      </w:r>
      <w:r>
        <w:t xml:space="preserve">. 2002. Disponível em http:// </w:t>
      </w:r>
      <w:hyperlink r:id="rId7" w:history="1">
        <w:r w:rsidRPr="007A5DA0">
          <w:rPr>
            <w:rStyle w:val="Hyperlink"/>
          </w:rPr>
          <w:t>www.confef.com.br</w:t>
        </w:r>
      </w:hyperlink>
      <w:r>
        <w:t xml:space="preserve">  Acesso em 27 fev. 2011.</w:t>
      </w:r>
    </w:p>
    <w:p w:rsidR="0079520E" w:rsidRPr="00E43C41" w:rsidRDefault="0079520E" w:rsidP="00C935F4"/>
    <w:p w:rsidR="0079520E" w:rsidRPr="00E43C41" w:rsidRDefault="0079520E" w:rsidP="00C935F4">
      <w:pPr>
        <w:rPr>
          <w:lang w:val="en-US"/>
        </w:rPr>
      </w:pPr>
      <w:r w:rsidRPr="00A332F6">
        <w:rPr>
          <w:lang w:val="en-US"/>
        </w:rPr>
        <w:t>FELTZ, D</w:t>
      </w:r>
      <w:r w:rsidR="00A332F6" w:rsidRPr="00A332F6">
        <w:rPr>
          <w:lang w:val="en-US"/>
        </w:rPr>
        <w:t>.</w:t>
      </w:r>
      <w:r w:rsidRPr="00A332F6">
        <w:rPr>
          <w:lang w:val="en-US"/>
        </w:rPr>
        <w:t xml:space="preserve"> L., CHASE, M</w:t>
      </w:r>
      <w:r w:rsidR="00A332F6" w:rsidRPr="00A332F6">
        <w:rPr>
          <w:lang w:val="en-US"/>
        </w:rPr>
        <w:t>.</w:t>
      </w:r>
      <w:r w:rsidRPr="00A332F6">
        <w:rPr>
          <w:lang w:val="en-US"/>
        </w:rPr>
        <w:t xml:space="preserve"> A., MORITZ, S</w:t>
      </w:r>
      <w:r w:rsidR="00A332F6" w:rsidRPr="00A332F6">
        <w:rPr>
          <w:lang w:val="en-US"/>
        </w:rPr>
        <w:t>.</w:t>
      </w:r>
      <w:r w:rsidRPr="00A332F6">
        <w:rPr>
          <w:lang w:val="en-US"/>
        </w:rPr>
        <w:t xml:space="preserve"> E., SULLIVAN, P</w:t>
      </w:r>
      <w:r w:rsidR="00A332F6">
        <w:rPr>
          <w:lang w:val="en-US"/>
        </w:rPr>
        <w:t>.</w:t>
      </w:r>
      <w:r w:rsidRPr="00A332F6">
        <w:rPr>
          <w:lang w:val="en-US"/>
        </w:rPr>
        <w:t xml:space="preserve">. </w:t>
      </w:r>
      <w:r w:rsidRPr="00E43C41">
        <w:rPr>
          <w:lang w:val="en-US"/>
        </w:rPr>
        <w:t xml:space="preserve">A Conceptual model of coaching efficacy: preliminary investigation and instrument development. </w:t>
      </w:r>
      <w:r w:rsidRPr="00E43C41">
        <w:rPr>
          <w:b/>
          <w:lang w:val="en-US"/>
        </w:rPr>
        <w:t>Journal of Educational Psychology</w:t>
      </w:r>
      <w:r w:rsidRPr="00E43C41">
        <w:rPr>
          <w:lang w:val="en-US"/>
        </w:rPr>
        <w:t>, vol. 91, n.4, p. 765-776, 1999.</w:t>
      </w:r>
    </w:p>
    <w:p w:rsidR="0079520E" w:rsidRPr="00E43C41" w:rsidRDefault="0079520E" w:rsidP="00C935F4">
      <w:pPr>
        <w:rPr>
          <w:lang w:val="en-US"/>
        </w:rPr>
      </w:pPr>
    </w:p>
    <w:p w:rsidR="0079520E" w:rsidRDefault="0079520E" w:rsidP="00C935F4">
      <w:pPr>
        <w:rPr>
          <w:lang w:val="en-US"/>
        </w:rPr>
      </w:pPr>
      <w:r w:rsidRPr="00E43C41">
        <w:rPr>
          <w:lang w:val="en-US"/>
        </w:rPr>
        <w:t xml:space="preserve">FUNG, L. Assessment: coaching efficacy as indicators of coach education program needs. </w:t>
      </w:r>
      <w:r w:rsidRPr="00E43C41">
        <w:rPr>
          <w:b/>
          <w:lang w:val="en-US"/>
        </w:rPr>
        <w:t>Athletic Insight – The Online Journal of Sport Psychology.</w:t>
      </w:r>
      <w:r w:rsidRPr="00E43C41">
        <w:rPr>
          <w:lang w:val="en-US"/>
        </w:rPr>
        <w:t xml:space="preserve"> Disponível em &lt;</w:t>
      </w:r>
      <w:hyperlink r:id="rId8" w:history="1">
        <w:r w:rsidRPr="00E43C41">
          <w:rPr>
            <w:rStyle w:val="Hyperlink"/>
            <w:lang w:val="en-US"/>
          </w:rPr>
          <w:t>http://www.athleticinsight.com/Vol5Iss1/CoachingEfficacy.htm</w:t>
        </w:r>
      </w:hyperlink>
      <w:r w:rsidRPr="00E43C41">
        <w:rPr>
          <w:lang w:val="en-US"/>
        </w:rPr>
        <w:t>&gt; Acesso em 24 de agosto de 2007.</w:t>
      </w:r>
    </w:p>
    <w:p w:rsidR="000F5D87" w:rsidRDefault="000F5D87" w:rsidP="00C935F4">
      <w:pPr>
        <w:rPr>
          <w:lang w:val="en-US"/>
        </w:rPr>
      </w:pPr>
    </w:p>
    <w:p w:rsidR="003574F3" w:rsidRPr="003574F3" w:rsidRDefault="003574F3" w:rsidP="003574F3">
      <w:r w:rsidRPr="003574F3">
        <w:rPr>
          <w:bCs/>
        </w:rPr>
        <w:t xml:space="preserve">IAOCHITE, R.T. </w:t>
      </w:r>
      <w:r w:rsidRPr="001340A2">
        <w:rPr>
          <w:b/>
          <w:bCs/>
        </w:rPr>
        <w:t>Auto-eficácia de docentes de Educação Física</w:t>
      </w:r>
      <w:r w:rsidRPr="003574F3">
        <w:rPr>
          <w:bCs/>
          <w:i/>
        </w:rPr>
        <w:t>.</w:t>
      </w:r>
      <w:r w:rsidRPr="003574F3">
        <w:rPr>
          <w:bCs/>
        </w:rPr>
        <w:t xml:space="preserve"> Tese</w:t>
      </w:r>
      <w:r w:rsidRPr="003574F3">
        <w:t xml:space="preserve"> (Doutorado em Educação). Campinas: Universidade Estadual de Campinas – Faculdade de Educação, 2007.</w:t>
      </w:r>
    </w:p>
    <w:p w:rsidR="006349D6" w:rsidRPr="003574F3" w:rsidRDefault="006349D6" w:rsidP="00C935F4"/>
    <w:p w:rsidR="00075D5B" w:rsidRDefault="000F5D87" w:rsidP="00C935F4">
      <w:r w:rsidRPr="000F5D87">
        <w:t>IAOCHITE, R.T., LARGURA, W.A.N., AZZI, R.G., SADALLA, A.M.F.A. Contribuições da Psicologia para a formação em Educação Física</w:t>
      </w:r>
      <w:r>
        <w:t xml:space="preserve">. </w:t>
      </w:r>
      <w:r w:rsidRPr="000F5D87">
        <w:rPr>
          <w:b/>
        </w:rPr>
        <w:t>Motriz</w:t>
      </w:r>
      <w:r w:rsidRPr="000F5D87">
        <w:t>, Rio Claro, v.10, n.3, p.153-158, set./dez. 2004</w:t>
      </w:r>
      <w:r>
        <w:t>.</w:t>
      </w:r>
    </w:p>
    <w:p w:rsidR="000F5D87" w:rsidRPr="000F5D87" w:rsidRDefault="000F5D87" w:rsidP="00C935F4"/>
    <w:p w:rsidR="00075D5B" w:rsidRPr="00075D5B" w:rsidRDefault="003574F3" w:rsidP="003574F3">
      <w:r w:rsidRPr="003574F3">
        <w:rPr>
          <w:lang w:val="en-US"/>
        </w:rPr>
        <w:t>KAVUSSANU, M.,</w:t>
      </w:r>
      <w:r>
        <w:rPr>
          <w:lang w:val="en-US"/>
        </w:rPr>
        <w:t xml:space="preserve"> BOARDLEY, I.D., JUTKIEWICZ, N.</w:t>
      </w:r>
      <w:r w:rsidRPr="003574F3">
        <w:rPr>
          <w:lang w:val="en-US"/>
        </w:rPr>
        <w:t xml:space="preserve">, </w:t>
      </w:r>
      <w:r>
        <w:rPr>
          <w:lang w:val="en-US"/>
        </w:rPr>
        <w:t xml:space="preserve">VINCENT, S., RING, C. </w:t>
      </w:r>
      <w:r w:rsidR="00075D5B" w:rsidRPr="00075D5B">
        <w:rPr>
          <w:lang w:val="en-US"/>
        </w:rPr>
        <w:t xml:space="preserve">Coaching efficacy and coaching effectiveness: examining their predictors and comparing coaches’ and athletes’reports. </w:t>
      </w:r>
      <w:r w:rsidR="00075D5B" w:rsidRPr="00075D5B">
        <w:rPr>
          <w:b/>
        </w:rPr>
        <w:t>The Sport Psychologist</w:t>
      </w:r>
      <w:r w:rsidR="00075D5B" w:rsidRPr="00075D5B">
        <w:t xml:space="preserve">, v.22, n.4, pp.383-404, 2008. Disponível em: </w:t>
      </w:r>
      <w:hyperlink r:id="rId9" w:history="1">
        <w:r w:rsidR="00075D5B" w:rsidRPr="007A5DA0">
          <w:rPr>
            <w:rStyle w:val="Hyperlink"/>
          </w:rPr>
          <w:t>http://www.eprints.bham.ac.uk/678</w:t>
        </w:r>
      </w:hyperlink>
      <w:r w:rsidR="00075D5B">
        <w:t xml:space="preserve"> Acesso em. 07 mar. 2012.</w:t>
      </w:r>
      <w:r w:rsidR="00075D5B" w:rsidRPr="00075D5B">
        <w:t xml:space="preserve"> </w:t>
      </w:r>
    </w:p>
    <w:p w:rsidR="0079520E" w:rsidRPr="00075D5B" w:rsidRDefault="0079520E" w:rsidP="00C935F4"/>
    <w:p w:rsidR="0079520E" w:rsidRPr="00E43C41" w:rsidRDefault="0079520E" w:rsidP="00C935F4">
      <w:r w:rsidRPr="00075D5B">
        <w:t>LOBO, I</w:t>
      </w:r>
      <w:r w:rsidR="00A332F6" w:rsidRPr="00075D5B">
        <w:t xml:space="preserve">. </w:t>
      </w:r>
      <w:r w:rsidRPr="00075D5B">
        <w:t>L</w:t>
      </w:r>
      <w:r w:rsidR="00A332F6" w:rsidRPr="00075D5B">
        <w:t xml:space="preserve">. </w:t>
      </w:r>
      <w:r w:rsidRPr="00075D5B">
        <w:t>B</w:t>
      </w:r>
      <w:r w:rsidR="00A332F6" w:rsidRPr="00075D5B">
        <w:t>.,</w:t>
      </w:r>
      <w:r w:rsidRPr="00075D5B">
        <w:t xml:space="preserve"> MORAES, L</w:t>
      </w:r>
      <w:r w:rsidR="00A332F6" w:rsidRPr="00075D5B">
        <w:t>.</w:t>
      </w:r>
      <w:r w:rsidRPr="00075D5B">
        <w:t xml:space="preserve"> C</w:t>
      </w:r>
      <w:r w:rsidR="00A332F6" w:rsidRPr="00075D5B">
        <w:t>.</w:t>
      </w:r>
      <w:r w:rsidRPr="00075D5B">
        <w:t xml:space="preserve"> C. A</w:t>
      </w:r>
      <w:r w:rsidR="00A332F6" w:rsidRPr="00075D5B">
        <w:t>.</w:t>
      </w:r>
      <w:r w:rsidRPr="00075D5B">
        <w:t xml:space="preserve"> NASCIMENTO, E</w:t>
      </w:r>
      <w:r w:rsidR="00A332F6" w:rsidRPr="00075D5B">
        <w:t>.</w:t>
      </w:r>
      <w:r w:rsidRPr="00075D5B">
        <w:t xml:space="preserve"> Processo de validação da escala de comportamento do treinador – ve</w:t>
      </w:r>
      <w:r w:rsidRPr="00E43C41">
        <w:t xml:space="preserve">rsão atleta (ECT-A). </w:t>
      </w:r>
      <w:r w:rsidRPr="00E43C41">
        <w:rPr>
          <w:b/>
        </w:rPr>
        <w:t>Revista Brasileira de Educação Física e Esporte</w:t>
      </w:r>
      <w:r w:rsidRPr="00E43C41">
        <w:t>, São Paulo, v.19, n.1, p. 255-265, jul/set. 2005.</w:t>
      </w:r>
    </w:p>
    <w:p w:rsidR="0079520E" w:rsidRPr="00E43C41" w:rsidRDefault="0079520E" w:rsidP="00C935F4"/>
    <w:p w:rsidR="001340A2" w:rsidRDefault="0079520E" w:rsidP="00C935F4">
      <w:r w:rsidRPr="00E43C41">
        <w:t>MACHADO, A</w:t>
      </w:r>
      <w:r w:rsidR="00A332F6">
        <w:t>.</w:t>
      </w:r>
      <w:r w:rsidRPr="00E43C41">
        <w:t xml:space="preserve"> A</w:t>
      </w:r>
      <w:r w:rsidR="00A332F6">
        <w:t>.</w:t>
      </w:r>
      <w:r w:rsidRPr="00E43C41">
        <w:t xml:space="preserve"> Os treinadores e as interferências intercondutais: contribuições à Luz da Motricidade Humana. In: BRANDÃO, MRF; MACHADO, A.A. (Org.). </w:t>
      </w:r>
      <w:r w:rsidRPr="00E43C41">
        <w:rPr>
          <w:b/>
          <w:bCs/>
        </w:rPr>
        <w:t xml:space="preserve">Coleção Psicologia do Esporte e do Exercício: </w:t>
      </w:r>
      <w:r w:rsidRPr="00E43C41">
        <w:t>O Treinador e a Psicologia do Esporte</w:t>
      </w:r>
      <w:r w:rsidRPr="00E43C41">
        <w:rPr>
          <w:b/>
          <w:bCs/>
        </w:rPr>
        <w:t xml:space="preserve">. </w:t>
      </w:r>
      <w:r w:rsidRPr="00E43C41">
        <w:t>1. ed. São Paulo: Atheneu, 2010, v.4, p. 59-78.</w:t>
      </w:r>
      <w:r w:rsidR="007E10FD">
        <w:br/>
      </w:r>
    </w:p>
    <w:p w:rsidR="001340A2" w:rsidRPr="00C718A3" w:rsidRDefault="001340A2" w:rsidP="001340A2">
      <w:pPr>
        <w:rPr>
          <w:lang w:val="en-US"/>
        </w:rPr>
      </w:pPr>
      <w:r w:rsidRPr="00C718A3">
        <w:rPr>
          <w:lang w:val="en-US"/>
        </w:rPr>
        <w:t>MALETE, L., FELTZ, D.L. The effect of a coaching education program</w:t>
      </w:r>
      <w:r>
        <w:rPr>
          <w:lang w:val="en-US"/>
        </w:rPr>
        <w:t xml:space="preserve"> on</w:t>
      </w:r>
      <w:r w:rsidRPr="00C718A3">
        <w:rPr>
          <w:lang w:val="en-US"/>
        </w:rPr>
        <w:t xml:space="preserve"> coaching efficacy. </w:t>
      </w:r>
      <w:r w:rsidRPr="00C718A3">
        <w:rPr>
          <w:b/>
          <w:lang w:val="en-US"/>
        </w:rPr>
        <w:t>Sport Psychologist</w:t>
      </w:r>
      <w:r>
        <w:rPr>
          <w:lang w:val="en-US"/>
        </w:rPr>
        <w:t xml:space="preserve">, v.14, n.4, pp.410-417, 2000. </w:t>
      </w:r>
    </w:p>
    <w:p w:rsidR="0079520E" w:rsidRPr="00E43C41" w:rsidRDefault="007E10FD" w:rsidP="001340A2">
      <w:r>
        <w:br/>
      </w:r>
      <w:r w:rsidR="00A63190" w:rsidRPr="00A63190">
        <w:rPr>
          <w:lang w:val="en-US"/>
        </w:rPr>
        <w:t>MYERS, N.D., VARGAS-TONSING, T.M., FELTZ, D.L. Coaching efficacy in intercollegiate coaches: sources, coachi</w:t>
      </w:r>
      <w:r w:rsidR="00A63190">
        <w:rPr>
          <w:lang w:val="en-US"/>
        </w:rPr>
        <w:t xml:space="preserve">ng behavior, and team variables. </w:t>
      </w:r>
      <w:r w:rsidR="00A332F6" w:rsidRPr="00A332F6">
        <w:t>Psychology of Sport and Exercise, v.6, n.1, pp.129-143, 2005. Disponível em</w:t>
      </w:r>
      <w:r w:rsidR="006046FF">
        <w:t xml:space="preserve"> </w:t>
      </w:r>
      <w:hyperlink r:id="rId10" w:history="1">
        <w:r w:rsidR="006046FF" w:rsidRPr="007A5DA0">
          <w:rPr>
            <w:rStyle w:val="Hyperlink"/>
          </w:rPr>
          <w:t>http://www.sciencedirect.com/science/article/pii/S1469029203000669</w:t>
        </w:r>
      </w:hyperlink>
      <w:r w:rsidR="006046FF">
        <w:t xml:space="preserve"> Acesso em: 07 mar. 2012.</w:t>
      </w:r>
      <w:r w:rsidRPr="00A332F6">
        <w:br/>
      </w:r>
      <w:r w:rsidRPr="00A332F6">
        <w:br/>
      </w:r>
      <w:r w:rsidR="0079520E" w:rsidRPr="00A332F6">
        <w:t>NASCIMENTO, J</w:t>
      </w:r>
      <w:r w:rsidR="00A332F6">
        <w:t>.</w:t>
      </w:r>
      <w:r w:rsidR="0079520E" w:rsidRPr="00A332F6">
        <w:t xml:space="preserve"> V</w:t>
      </w:r>
      <w:r w:rsidR="00A332F6">
        <w:t>.,</w:t>
      </w:r>
      <w:r w:rsidR="0079520E" w:rsidRPr="00A332F6">
        <w:t xml:space="preserve"> </w:t>
      </w:r>
      <w:r w:rsidR="0079520E" w:rsidRPr="007E10FD">
        <w:t>RAMOS, V</w:t>
      </w:r>
      <w:r w:rsidR="00A332F6">
        <w:t>.,</w:t>
      </w:r>
      <w:r w:rsidR="0079520E" w:rsidRPr="007E10FD">
        <w:t xml:space="preserve"> MARCON, D</w:t>
      </w:r>
      <w:r w:rsidR="001340A2">
        <w:t>.,</w:t>
      </w:r>
      <w:r w:rsidR="0079520E" w:rsidRPr="007E10FD">
        <w:t xml:space="preserve"> SAAD, M</w:t>
      </w:r>
      <w:r w:rsidR="00A332F6">
        <w:t>.</w:t>
      </w:r>
      <w:r w:rsidR="0079520E" w:rsidRPr="007E10FD">
        <w:t xml:space="preserve"> A</w:t>
      </w:r>
      <w:r w:rsidR="00A332F6">
        <w:t>.,</w:t>
      </w:r>
      <w:r w:rsidR="0079520E" w:rsidRPr="007E10FD">
        <w:t xml:space="preserve"> </w:t>
      </w:r>
      <w:r w:rsidR="0079520E" w:rsidRPr="00E43C41">
        <w:t>COLLET, C</w:t>
      </w:r>
      <w:r w:rsidR="00A332F6">
        <w:t>.</w:t>
      </w:r>
      <w:r w:rsidR="0079520E" w:rsidRPr="00E43C41">
        <w:t xml:space="preserve"> Formação acadêmica e intervenção pedagógica nos esportes. </w:t>
      </w:r>
      <w:r w:rsidR="0079520E" w:rsidRPr="00E43C41">
        <w:rPr>
          <w:b/>
        </w:rPr>
        <w:t>Motriz</w:t>
      </w:r>
      <w:r w:rsidR="0079520E" w:rsidRPr="00E43C41">
        <w:t xml:space="preserve">, Rio Claro, v.15 n.2 p.358-366, abr./jun. 2009. </w:t>
      </w:r>
    </w:p>
    <w:p w:rsidR="0079520E" w:rsidRPr="00E43C41" w:rsidRDefault="0079520E" w:rsidP="00C935F4"/>
    <w:p w:rsidR="00C718A3" w:rsidRPr="001340A2" w:rsidRDefault="0079520E" w:rsidP="00C935F4">
      <w:pPr>
        <w:rPr>
          <w:bCs/>
        </w:rPr>
      </w:pPr>
      <w:r w:rsidRPr="00E43C41">
        <w:t>ROSADO, A</w:t>
      </w:r>
      <w:r w:rsidR="00A332F6">
        <w:t xml:space="preserve">., </w:t>
      </w:r>
      <w:r w:rsidRPr="00E43C41">
        <w:t>MESQUITA, I</w:t>
      </w:r>
      <w:r w:rsidR="00A332F6">
        <w:t>.</w:t>
      </w:r>
      <w:r w:rsidRPr="00E43C41">
        <w:t xml:space="preserve"> M</w:t>
      </w:r>
      <w:r w:rsidR="00A332F6">
        <w:t>.</w:t>
      </w:r>
      <w:r w:rsidRPr="00E43C41">
        <w:t xml:space="preserve"> R. A formação para ser treinador. In: ACTAS DO 1º CONGRESSO INTERNACIONAL DE JOGOS DESPORTIVOS – Olhares e contextos da performance ao rendimento. </w:t>
      </w:r>
      <w:r w:rsidRPr="00E43C41">
        <w:rPr>
          <w:b/>
        </w:rPr>
        <w:t>Secção Conferências</w:t>
      </w:r>
      <w:r w:rsidRPr="00E43C41">
        <w:t>, 2007, [CD ROM].</w:t>
      </w:r>
      <w:r w:rsidRPr="00E43C41">
        <w:br/>
      </w:r>
      <w:r w:rsidRPr="00E43C41">
        <w:br/>
        <w:t>SANTOS, A</w:t>
      </w:r>
      <w:r w:rsidR="00A332F6">
        <w:t xml:space="preserve">. </w:t>
      </w:r>
      <w:r w:rsidRPr="00E43C41">
        <w:t>S</w:t>
      </w:r>
      <w:r w:rsidR="00A332F6">
        <w:t>.</w:t>
      </w:r>
      <w:r w:rsidRPr="00E43C41">
        <w:t xml:space="preserve"> F</w:t>
      </w:r>
      <w:r w:rsidR="00A332F6">
        <w:t>.</w:t>
      </w:r>
      <w:r w:rsidRPr="00E43C41">
        <w:t xml:space="preserve"> M</w:t>
      </w:r>
      <w:r w:rsidR="00A332F6">
        <w:t>.,</w:t>
      </w:r>
      <w:r w:rsidRPr="00E43C41">
        <w:t xml:space="preserve"> MESQUITA, I</w:t>
      </w:r>
      <w:r w:rsidR="00A332F6">
        <w:t>.</w:t>
      </w:r>
      <w:r w:rsidRPr="00E43C41">
        <w:t xml:space="preserve"> M</w:t>
      </w:r>
      <w:r w:rsidR="00A332F6">
        <w:t>.</w:t>
      </w:r>
      <w:r w:rsidRPr="00E43C41">
        <w:t xml:space="preserve"> R. </w:t>
      </w:r>
      <w:r w:rsidRPr="00E43C41">
        <w:rPr>
          <w:bCs/>
        </w:rPr>
        <w:t xml:space="preserve">Percepção dos treinadores sobre as competências profissionais em função da sua formação e experiência. </w:t>
      </w:r>
      <w:r w:rsidRPr="00E43C41">
        <w:rPr>
          <w:b/>
          <w:bCs/>
        </w:rPr>
        <w:t>Revista Brasileira de Cineantropometria e Desempenho Humano</w:t>
      </w:r>
      <w:r w:rsidRPr="00E43C41">
        <w:rPr>
          <w:bCs/>
        </w:rPr>
        <w:t>. 12 (4), p. 275-281, 2010.</w:t>
      </w:r>
      <w:r w:rsidR="001340A2">
        <w:rPr>
          <w:bCs/>
        </w:rPr>
        <w:br/>
      </w:r>
      <w:r w:rsidR="001340A2">
        <w:rPr>
          <w:bCs/>
        </w:rPr>
        <w:br/>
      </w:r>
      <w:r w:rsidR="001340A2" w:rsidRPr="00D70E9B">
        <w:rPr>
          <w:lang w:val="en-US"/>
        </w:rPr>
        <w:t xml:space="preserve">SULLIVAN, P.J., KENT, A. </w:t>
      </w:r>
      <w:r w:rsidR="001340A2">
        <w:rPr>
          <w:lang w:val="en-US"/>
        </w:rPr>
        <w:t xml:space="preserve">Coaching efficacy as a predictor of leadership style in intercollegiate athletics. </w:t>
      </w:r>
      <w:r w:rsidR="001340A2" w:rsidRPr="00C718A3">
        <w:rPr>
          <w:b/>
          <w:lang w:val="en-US"/>
        </w:rPr>
        <w:t>Journal of Applied Sport Psychology</w:t>
      </w:r>
      <w:r w:rsidR="001340A2">
        <w:rPr>
          <w:lang w:val="en-US"/>
        </w:rPr>
        <w:t xml:space="preserve">, v.15, n.1, pp.1-11, 2003. </w:t>
      </w:r>
      <w:r w:rsidR="001340A2" w:rsidRPr="001340A2">
        <w:rPr>
          <w:lang w:val="en-US"/>
        </w:rPr>
        <w:t xml:space="preserve">Disponível em: </w:t>
      </w:r>
      <w:hyperlink r:id="rId11" w:history="1">
        <w:r w:rsidR="001340A2" w:rsidRPr="001340A2">
          <w:rPr>
            <w:rStyle w:val="Hyperlink"/>
            <w:lang w:val="en-US"/>
          </w:rPr>
          <w:t>http://www.tandfonline.com/doi/abs/10.1080/10413200305404</w:t>
        </w:r>
      </w:hyperlink>
      <w:r w:rsidR="001340A2" w:rsidRPr="001340A2">
        <w:rPr>
          <w:lang w:val="en-US"/>
        </w:rPr>
        <w:t xml:space="preserve"> Acesso em: 05 fev. 2012.</w:t>
      </w:r>
      <w:r w:rsidR="001340A2" w:rsidRPr="001340A2">
        <w:rPr>
          <w:lang w:val="en-US"/>
        </w:rPr>
        <w:br/>
      </w:r>
      <w:r w:rsidRPr="001340A2">
        <w:rPr>
          <w:bCs/>
          <w:lang w:val="en-US"/>
        </w:rPr>
        <w:br/>
      </w:r>
      <w:r w:rsidRPr="00E43C41">
        <w:t>VIEIRA, L</w:t>
      </w:r>
      <w:r w:rsidR="00A332F6">
        <w:t>.</w:t>
      </w:r>
      <w:r w:rsidRPr="00E43C41">
        <w:t xml:space="preserve"> F</w:t>
      </w:r>
      <w:r w:rsidR="00A332F6">
        <w:t>.</w:t>
      </w:r>
      <w:r w:rsidRPr="00E43C41">
        <w:t xml:space="preserve"> OLIVEIRA, L</w:t>
      </w:r>
      <w:r w:rsidR="00A332F6">
        <w:t xml:space="preserve">. </w:t>
      </w:r>
      <w:r w:rsidRPr="00E43C41">
        <w:t>P. VISSOCI, J</w:t>
      </w:r>
      <w:r w:rsidR="00A332F6">
        <w:t>.</w:t>
      </w:r>
      <w:r w:rsidRPr="00E43C41">
        <w:t xml:space="preserve"> R</w:t>
      </w:r>
      <w:r w:rsidR="00A332F6">
        <w:t xml:space="preserve">. </w:t>
      </w:r>
      <w:r w:rsidRPr="00E43C41">
        <w:t>N</w:t>
      </w:r>
      <w:r w:rsidR="00A332F6">
        <w:t>.,</w:t>
      </w:r>
      <w:r w:rsidRPr="00E43C41">
        <w:t xml:space="preserve"> SONOO, C</w:t>
      </w:r>
      <w:r w:rsidR="00A332F6">
        <w:t xml:space="preserve">. </w:t>
      </w:r>
      <w:r w:rsidRPr="00E43C41">
        <w:t>N</w:t>
      </w:r>
      <w:r w:rsidR="00A332F6">
        <w:t>.</w:t>
      </w:r>
      <w:r w:rsidRPr="00E43C41">
        <w:t xml:space="preserve"> O treinador e o processo de intervenção psicológica. In: BRANDÃO, MRF; MACHADO, A.A. (Org.). </w:t>
      </w:r>
      <w:r w:rsidRPr="00E43C41">
        <w:rPr>
          <w:b/>
          <w:bCs/>
        </w:rPr>
        <w:t xml:space="preserve">Coleção Psicologia do Esporte e do Exercício: </w:t>
      </w:r>
      <w:r w:rsidRPr="00E43C41">
        <w:t>O Treinador e a Psicologia do Esporte</w:t>
      </w:r>
      <w:r w:rsidRPr="00E43C41">
        <w:rPr>
          <w:b/>
          <w:bCs/>
        </w:rPr>
        <w:t xml:space="preserve">. </w:t>
      </w:r>
      <w:r w:rsidRPr="00E43C41">
        <w:t>1. ed. São Paulo: Atheneu, 2010, v.4, p. 141-164.</w:t>
      </w:r>
      <w:r w:rsidR="00A332F6">
        <w:br/>
      </w:r>
      <w:r w:rsidR="00A332F6">
        <w:br/>
      </w:r>
      <w:r w:rsidR="00C718A3">
        <w:br/>
      </w:r>
    </w:p>
    <w:sectPr w:rsidR="00C718A3" w:rsidRPr="001340A2" w:rsidSect="006528F8">
      <w:headerReference w:type="even" r:id="rId12"/>
      <w:headerReference w:type="default" r:id="rId13"/>
      <w:footerReference w:type="default" r:id="rId14"/>
      <w:pgSz w:w="11906" w:h="16838" w:code="9"/>
      <w:pgMar w:top="1417" w:right="1701" w:bottom="1417" w:left="1701" w:header="709" w:footer="709" w:gutter="0"/>
      <w:pgNumType w:start="1"/>
      <w:cols w:space="708"/>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F28" w:rsidRDefault="00704F28" w:rsidP="00641D01">
      <w:r>
        <w:separator/>
      </w:r>
    </w:p>
  </w:endnote>
  <w:endnote w:type="continuationSeparator" w:id="0">
    <w:p w:rsidR="00704F28" w:rsidRDefault="00704F28" w:rsidP="00641D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Std">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841743"/>
      <w:docPartObj>
        <w:docPartGallery w:val="Page Numbers (Bottom of Page)"/>
        <w:docPartUnique/>
      </w:docPartObj>
    </w:sdtPr>
    <w:sdtContent>
      <w:p w:rsidR="007D7CF8" w:rsidRDefault="007D7CF8">
        <w:pPr>
          <w:pStyle w:val="Rodap"/>
        </w:pPr>
        <w:fldSimple w:instr=" PAGE   \* MERGEFORMAT ">
          <w:r w:rsidR="00704F28">
            <w:rPr>
              <w:noProof/>
            </w:rPr>
            <w:t>1</w:t>
          </w:r>
        </w:fldSimple>
      </w:p>
    </w:sdtContent>
  </w:sdt>
  <w:p w:rsidR="007D7CF8" w:rsidRDefault="007D7C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F28" w:rsidRDefault="00704F28" w:rsidP="00641D01">
      <w:r>
        <w:separator/>
      </w:r>
    </w:p>
  </w:footnote>
  <w:footnote w:type="continuationSeparator" w:id="0">
    <w:p w:rsidR="00704F28" w:rsidRDefault="00704F28" w:rsidP="00641D01">
      <w:r>
        <w:continuationSeparator/>
      </w:r>
    </w:p>
  </w:footnote>
  <w:footnote w:id="1">
    <w:p w:rsidR="00BC53BD" w:rsidRPr="00BC53BD" w:rsidRDefault="00BC53BD" w:rsidP="008B64BF">
      <w:pPr>
        <w:pStyle w:val="Textodenotaderodap"/>
        <w:rPr>
          <w:lang w:val="pt-PT"/>
        </w:rPr>
      </w:pPr>
      <w:r>
        <w:rPr>
          <w:rStyle w:val="Refdenotaderodap"/>
        </w:rPr>
        <w:footnoteRef/>
      </w:r>
      <w:r>
        <w:t xml:space="preserve"> </w:t>
      </w:r>
      <w:r>
        <w:rPr>
          <w:lang w:val="pt-PT"/>
        </w:rPr>
        <w:t xml:space="preserve">Este </w:t>
      </w:r>
      <w:r w:rsidR="008B64BF">
        <w:rPr>
          <w:lang w:val="pt-PT"/>
        </w:rPr>
        <w:t>estudo</w:t>
      </w:r>
      <w:r>
        <w:rPr>
          <w:lang w:val="pt-PT"/>
        </w:rPr>
        <w:t xml:space="preserve"> foi apresentado</w:t>
      </w:r>
      <w:r w:rsidR="008B64BF">
        <w:rPr>
          <w:lang w:val="pt-PT"/>
        </w:rPr>
        <w:t xml:space="preserve"> na forma de Comunicação oral</w:t>
      </w:r>
      <w:r>
        <w:rPr>
          <w:lang w:val="pt-PT"/>
        </w:rPr>
        <w:t xml:space="preserve"> no II Congresso Internacional de Formação Profissional no Campo da Educação Física e VI Seminário de Estudos e Pesquisasem Formação Profissional no Campo da Educação Física “Construção da Identidade Profissional em Educação Física: da Formação à Intervenção” – Universidade Federal de Santa Catarina, 17 a 19 de maio de 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159" w:rsidRDefault="00505159" w:rsidP="00505159">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rsidR="00505159" w:rsidRDefault="00505159" w:rsidP="0050515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159" w:rsidRDefault="00505159" w:rsidP="00505159">
    <w:pPr>
      <w:pStyle w:val="Cabealh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9"/>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rsids>
    <w:rsidRoot w:val="0079520E"/>
    <w:rsid w:val="0006750F"/>
    <w:rsid w:val="00075D5B"/>
    <w:rsid w:val="000A62EB"/>
    <w:rsid w:val="000E64FC"/>
    <w:rsid w:val="000F1642"/>
    <w:rsid w:val="000F5D87"/>
    <w:rsid w:val="001340A2"/>
    <w:rsid w:val="0019001A"/>
    <w:rsid w:val="00211DC1"/>
    <w:rsid w:val="00213B8B"/>
    <w:rsid w:val="00217FBB"/>
    <w:rsid w:val="00245168"/>
    <w:rsid w:val="00246754"/>
    <w:rsid w:val="00252C6E"/>
    <w:rsid w:val="002A53ED"/>
    <w:rsid w:val="003574F3"/>
    <w:rsid w:val="00363E0D"/>
    <w:rsid w:val="003C2DB0"/>
    <w:rsid w:val="00405CD3"/>
    <w:rsid w:val="00427813"/>
    <w:rsid w:val="0045689B"/>
    <w:rsid w:val="004D7A37"/>
    <w:rsid w:val="004F6A31"/>
    <w:rsid w:val="00505159"/>
    <w:rsid w:val="00557B50"/>
    <w:rsid w:val="005F2A01"/>
    <w:rsid w:val="006046FF"/>
    <w:rsid w:val="00625D9D"/>
    <w:rsid w:val="006349D6"/>
    <w:rsid w:val="00641D01"/>
    <w:rsid w:val="006444FE"/>
    <w:rsid w:val="006528F8"/>
    <w:rsid w:val="00671C07"/>
    <w:rsid w:val="006857DC"/>
    <w:rsid w:val="0068715C"/>
    <w:rsid w:val="006A1759"/>
    <w:rsid w:val="006A57F7"/>
    <w:rsid w:val="006B4360"/>
    <w:rsid w:val="006D0268"/>
    <w:rsid w:val="006F56CE"/>
    <w:rsid w:val="006F6AA8"/>
    <w:rsid w:val="00704F28"/>
    <w:rsid w:val="007116A1"/>
    <w:rsid w:val="0079520E"/>
    <w:rsid w:val="007C0107"/>
    <w:rsid w:val="007D7CF8"/>
    <w:rsid w:val="007E10FD"/>
    <w:rsid w:val="00815DF6"/>
    <w:rsid w:val="008741DA"/>
    <w:rsid w:val="008B64BF"/>
    <w:rsid w:val="008C47C0"/>
    <w:rsid w:val="00925101"/>
    <w:rsid w:val="00941C22"/>
    <w:rsid w:val="0094443E"/>
    <w:rsid w:val="009B6A1E"/>
    <w:rsid w:val="009B6F1D"/>
    <w:rsid w:val="00A21829"/>
    <w:rsid w:val="00A332F6"/>
    <w:rsid w:val="00A40557"/>
    <w:rsid w:val="00A43BAB"/>
    <w:rsid w:val="00A63190"/>
    <w:rsid w:val="00AA16F0"/>
    <w:rsid w:val="00AF70D4"/>
    <w:rsid w:val="00B02E04"/>
    <w:rsid w:val="00B50DEB"/>
    <w:rsid w:val="00BC53BD"/>
    <w:rsid w:val="00C03070"/>
    <w:rsid w:val="00C07680"/>
    <w:rsid w:val="00C115D0"/>
    <w:rsid w:val="00C150BE"/>
    <w:rsid w:val="00C15953"/>
    <w:rsid w:val="00C40834"/>
    <w:rsid w:val="00C718A3"/>
    <w:rsid w:val="00C74810"/>
    <w:rsid w:val="00C935F4"/>
    <w:rsid w:val="00CA44CA"/>
    <w:rsid w:val="00D61B64"/>
    <w:rsid w:val="00D70E9B"/>
    <w:rsid w:val="00D8430B"/>
    <w:rsid w:val="00D9056F"/>
    <w:rsid w:val="00DC2EC0"/>
    <w:rsid w:val="00E073E6"/>
    <w:rsid w:val="00E31164"/>
    <w:rsid w:val="00E3342E"/>
    <w:rsid w:val="00E3487E"/>
    <w:rsid w:val="00E43C41"/>
    <w:rsid w:val="00E82DD7"/>
    <w:rsid w:val="00FB243D"/>
    <w:rsid w:val="00FC253E"/>
    <w:rsid w:val="00FD1FE2"/>
    <w:rsid w:val="00FD2953"/>
    <w:rsid w:val="00FF14E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20E"/>
    <w:pPr>
      <w:spacing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79520E"/>
    <w:pPr>
      <w:jc w:val="center"/>
    </w:pPr>
    <w:rPr>
      <w:rFonts w:ascii="Arial" w:hAnsi="Arial" w:cs="Arial"/>
      <w:b/>
      <w:bCs/>
    </w:rPr>
  </w:style>
  <w:style w:type="character" w:customStyle="1" w:styleId="TtuloChar">
    <w:name w:val="Título Char"/>
    <w:basedOn w:val="Fontepargpadro"/>
    <w:link w:val="Ttulo"/>
    <w:rsid w:val="0079520E"/>
    <w:rPr>
      <w:rFonts w:ascii="Arial" w:eastAsia="Times New Roman" w:hAnsi="Arial" w:cs="Arial"/>
      <w:b/>
      <w:bCs/>
      <w:sz w:val="24"/>
      <w:szCs w:val="24"/>
      <w:lang w:eastAsia="pt-BR"/>
    </w:rPr>
  </w:style>
  <w:style w:type="paragraph" w:styleId="Corpodetexto">
    <w:name w:val="Body Text"/>
    <w:basedOn w:val="Normal"/>
    <w:link w:val="CorpodetextoChar"/>
    <w:rsid w:val="0079520E"/>
    <w:pPr>
      <w:jc w:val="center"/>
    </w:pPr>
    <w:rPr>
      <w:rFonts w:ascii="Arial" w:hAnsi="Arial" w:cs="Arial"/>
      <w:i/>
      <w:iCs/>
    </w:rPr>
  </w:style>
  <w:style w:type="character" w:customStyle="1" w:styleId="CorpodetextoChar">
    <w:name w:val="Corpo de texto Char"/>
    <w:basedOn w:val="Fontepargpadro"/>
    <w:link w:val="Corpodetexto"/>
    <w:rsid w:val="0079520E"/>
    <w:rPr>
      <w:rFonts w:ascii="Arial" w:eastAsia="Times New Roman" w:hAnsi="Arial" w:cs="Arial"/>
      <w:i/>
      <w:iCs/>
      <w:sz w:val="24"/>
      <w:szCs w:val="24"/>
      <w:lang w:eastAsia="pt-BR"/>
    </w:rPr>
  </w:style>
  <w:style w:type="paragraph" w:styleId="Rodap">
    <w:name w:val="footer"/>
    <w:basedOn w:val="Normal"/>
    <w:link w:val="RodapChar"/>
    <w:uiPriority w:val="99"/>
    <w:rsid w:val="0079520E"/>
    <w:pPr>
      <w:tabs>
        <w:tab w:val="center" w:pos="4252"/>
        <w:tab w:val="right" w:pos="8504"/>
      </w:tabs>
    </w:pPr>
  </w:style>
  <w:style w:type="character" w:customStyle="1" w:styleId="RodapChar">
    <w:name w:val="Rodapé Char"/>
    <w:basedOn w:val="Fontepargpadro"/>
    <w:link w:val="Rodap"/>
    <w:uiPriority w:val="99"/>
    <w:rsid w:val="0079520E"/>
    <w:rPr>
      <w:rFonts w:ascii="Times New Roman" w:eastAsia="Times New Roman" w:hAnsi="Times New Roman" w:cs="Times New Roman"/>
      <w:sz w:val="24"/>
      <w:szCs w:val="24"/>
      <w:lang w:eastAsia="pt-BR"/>
    </w:rPr>
  </w:style>
  <w:style w:type="character" w:styleId="Hyperlink">
    <w:name w:val="Hyperlink"/>
    <w:rsid w:val="0079520E"/>
    <w:rPr>
      <w:color w:val="0000FF"/>
      <w:u w:val="single"/>
    </w:rPr>
  </w:style>
  <w:style w:type="paragraph" w:styleId="Cabealho">
    <w:name w:val="header"/>
    <w:basedOn w:val="Normal"/>
    <w:link w:val="CabealhoChar"/>
    <w:rsid w:val="0079520E"/>
    <w:pPr>
      <w:tabs>
        <w:tab w:val="center" w:pos="4252"/>
        <w:tab w:val="right" w:pos="8504"/>
      </w:tabs>
    </w:pPr>
  </w:style>
  <w:style w:type="character" w:customStyle="1" w:styleId="CabealhoChar">
    <w:name w:val="Cabeçalho Char"/>
    <w:basedOn w:val="Fontepargpadro"/>
    <w:link w:val="Cabealho"/>
    <w:rsid w:val="0079520E"/>
    <w:rPr>
      <w:rFonts w:ascii="Times New Roman" w:eastAsia="Times New Roman" w:hAnsi="Times New Roman" w:cs="Times New Roman"/>
      <w:sz w:val="24"/>
      <w:szCs w:val="24"/>
      <w:lang w:eastAsia="pt-BR"/>
    </w:rPr>
  </w:style>
  <w:style w:type="character" w:styleId="Nmerodepgina">
    <w:name w:val="page number"/>
    <w:basedOn w:val="Fontepargpadro"/>
    <w:rsid w:val="0079520E"/>
  </w:style>
  <w:style w:type="character" w:styleId="Refdecomentrio">
    <w:name w:val="annotation reference"/>
    <w:uiPriority w:val="99"/>
    <w:semiHidden/>
    <w:unhideWhenUsed/>
    <w:rsid w:val="0079520E"/>
    <w:rPr>
      <w:sz w:val="16"/>
      <w:szCs w:val="16"/>
    </w:rPr>
  </w:style>
  <w:style w:type="paragraph" w:styleId="Textodecomentrio">
    <w:name w:val="annotation text"/>
    <w:basedOn w:val="Normal"/>
    <w:link w:val="TextodecomentrioChar"/>
    <w:uiPriority w:val="99"/>
    <w:semiHidden/>
    <w:unhideWhenUsed/>
    <w:rsid w:val="0079520E"/>
    <w:rPr>
      <w:sz w:val="20"/>
      <w:szCs w:val="20"/>
    </w:rPr>
  </w:style>
  <w:style w:type="character" w:customStyle="1" w:styleId="TextodecomentrioChar">
    <w:name w:val="Texto de comentário Char"/>
    <w:basedOn w:val="Fontepargpadro"/>
    <w:link w:val="Textodecomentrio"/>
    <w:uiPriority w:val="99"/>
    <w:semiHidden/>
    <w:rsid w:val="0079520E"/>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79520E"/>
    <w:rPr>
      <w:rFonts w:ascii="Tahoma" w:hAnsi="Tahoma" w:cs="Tahoma"/>
      <w:sz w:val="16"/>
      <w:szCs w:val="16"/>
    </w:rPr>
  </w:style>
  <w:style w:type="character" w:customStyle="1" w:styleId="TextodebaloChar">
    <w:name w:val="Texto de balão Char"/>
    <w:basedOn w:val="Fontepargpadro"/>
    <w:link w:val="Textodebalo"/>
    <w:uiPriority w:val="99"/>
    <w:semiHidden/>
    <w:rsid w:val="0079520E"/>
    <w:rPr>
      <w:rFonts w:ascii="Tahoma" w:eastAsia="Times New Roman" w:hAnsi="Tahoma" w:cs="Tahoma"/>
      <w:sz w:val="16"/>
      <w:szCs w:val="16"/>
      <w:lang w:eastAsia="pt-BR"/>
    </w:rPr>
  </w:style>
  <w:style w:type="character" w:customStyle="1" w:styleId="apple-converted-space">
    <w:name w:val="apple-converted-space"/>
    <w:basedOn w:val="Fontepargpadro"/>
    <w:rsid w:val="0079520E"/>
  </w:style>
  <w:style w:type="character" w:styleId="Forte">
    <w:name w:val="Strong"/>
    <w:basedOn w:val="Fontepargpadro"/>
    <w:uiPriority w:val="22"/>
    <w:qFormat/>
    <w:rsid w:val="0079520E"/>
    <w:rPr>
      <w:b/>
      <w:bCs/>
    </w:rPr>
  </w:style>
  <w:style w:type="paragraph" w:styleId="Assuntodocomentrio">
    <w:name w:val="annotation subject"/>
    <w:basedOn w:val="Textodecomentrio"/>
    <w:next w:val="Textodecomentrio"/>
    <w:link w:val="AssuntodocomentrioChar"/>
    <w:uiPriority w:val="99"/>
    <w:semiHidden/>
    <w:unhideWhenUsed/>
    <w:rsid w:val="00DC2EC0"/>
    <w:rPr>
      <w:b/>
      <w:bCs/>
    </w:rPr>
  </w:style>
  <w:style w:type="character" w:customStyle="1" w:styleId="AssuntodocomentrioChar">
    <w:name w:val="Assunto do comentário Char"/>
    <w:basedOn w:val="TextodecomentrioChar"/>
    <w:link w:val="Assuntodocomentrio"/>
    <w:uiPriority w:val="99"/>
    <w:semiHidden/>
    <w:rsid w:val="00DC2EC0"/>
    <w:rPr>
      <w:b/>
      <w:bCs/>
    </w:rPr>
  </w:style>
  <w:style w:type="paragraph" w:styleId="Textodenotaderodap">
    <w:name w:val="footnote text"/>
    <w:basedOn w:val="Normal"/>
    <w:link w:val="TextodenotaderodapChar"/>
    <w:uiPriority w:val="99"/>
    <w:semiHidden/>
    <w:unhideWhenUsed/>
    <w:rsid w:val="00BC53BD"/>
    <w:rPr>
      <w:sz w:val="20"/>
      <w:szCs w:val="20"/>
    </w:rPr>
  </w:style>
  <w:style w:type="character" w:customStyle="1" w:styleId="TextodenotaderodapChar">
    <w:name w:val="Texto de nota de rodapé Char"/>
    <w:basedOn w:val="Fontepargpadro"/>
    <w:link w:val="Textodenotaderodap"/>
    <w:uiPriority w:val="99"/>
    <w:semiHidden/>
    <w:rsid w:val="00BC53BD"/>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BC53BD"/>
    <w:rPr>
      <w:vertAlign w:val="superscript"/>
    </w:rPr>
  </w:style>
  <w:style w:type="paragraph" w:styleId="Reviso">
    <w:name w:val="Revision"/>
    <w:hidden/>
    <w:uiPriority w:val="99"/>
    <w:semiHidden/>
    <w:rsid w:val="008741DA"/>
    <w:pPr>
      <w:spacing w:line="240" w:lineRule="auto"/>
      <w:jc w:val="left"/>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56866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thleticinsight.com/Vol5Iss1/CoachingEfficacy.ht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confef.com.br"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andfonline.com/doi/abs/10.1080/1041320030540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ciencedirect.com/science/article/pii/S1469029203000669" TargetMode="External"/><Relationship Id="rId4" Type="http://schemas.openxmlformats.org/officeDocument/2006/relationships/webSettings" Target="webSettings.xml"/><Relationship Id="rId9" Type="http://schemas.openxmlformats.org/officeDocument/2006/relationships/hyperlink" Target="http://www.eprints.bham.ac.uk/678"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594CC-45F1-4F85-B7D8-01BAB5606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6186</Words>
  <Characters>33410</Characters>
  <Application>Microsoft Office Word</Application>
  <DocSecurity>0</DocSecurity>
  <Lines>278</Lines>
  <Paragraphs>79</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INTRODUÇÃO</vt:lpstr>
    </vt:vector>
  </TitlesOfParts>
  <Company/>
  <LinksUpToDate>false</LinksUpToDate>
  <CharactersWithSpaces>39517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Iaochite</cp:lastModifiedBy>
  <cp:revision>2</cp:revision>
  <dcterms:created xsi:type="dcterms:W3CDTF">2012-06-24T20:04:00Z</dcterms:created>
  <dcterms:modified xsi:type="dcterms:W3CDTF">2012-06-24T20:04:00Z</dcterms:modified>
</cp:coreProperties>
</file>