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8A" w:rsidRPr="0023138A" w:rsidRDefault="0023138A" w:rsidP="0023138A">
      <w:pPr>
        <w:spacing w:after="0" w:line="360" w:lineRule="auto"/>
        <w:ind w:left="426" w:right="424"/>
        <w:jc w:val="center"/>
        <w:rPr>
          <w:rFonts w:ascii="Times New Roman" w:hAnsi="Times New Roman"/>
          <w:sz w:val="24"/>
        </w:rPr>
      </w:pPr>
      <w:r w:rsidRPr="0023138A">
        <w:rPr>
          <w:rFonts w:ascii="Times New Roman" w:hAnsi="Times New Roman"/>
          <w:sz w:val="24"/>
        </w:rPr>
        <w:t>Gráfico 1 – Aspectos positivos apresentados pelos alunos bolsistas da ESEF/</w:t>
      </w:r>
      <w:proofErr w:type="gramStart"/>
      <w:r w:rsidRPr="0023138A">
        <w:rPr>
          <w:rFonts w:ascii="Times New Roman" w:hAnsi="Times New Roman"/>
          <w:sz w:val="24"/>
        </w:rPr>
        <w:t>UFPel</w:t>
      </w:r>
      <w:proofErr w:type="gramEnd"/>
      <w:r w:rsidRPr="0023138A">
        <w:rPr>
          <w:rFonts w:ascii="Times New Roman" w:hAnsi="Times New Roman"/>
          <w:sz w:val="24"/>
        </w:rPr>
        <w:t xml:space="preserve"> pelo fato de receberem bolsas durante a graduação.</w:t>
      </w:r>
    </w:p>
    <w:p w:rsidR="0023138A" w:rsidRPr="0023138A" w:rsidRDefault="0023138A" w:rsidP="0023138A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23138A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621655" cy="1955800"/>
            <wp:effectExtent l="19050" t="0" r="17145" b="6350"/>
            <wp:docPr id="2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3138A" w:rsidRDefault="0023138A" w:rsidP="0023138A">
      <w:pPr>
        <w:spacing w:after="0" w:line="360" w:lineRule="auto"/>
        <w:ind w:firstLine="708"/>
        <w:jc w:val="center"/>
        <w:rPr>
          <w:rFonts w:ascii="Times New Roman" w:hAnsi="Times New Roman"/>
          <w:sz w:val="24"/>
        </w:rPr>
      </w:pPr>
    </w:p>
    <w:p w:rsidR="0023138A" w:rsidRPr="0023138A" w:rsidRDefault="0023138A" w:rsidP="0023138A">
      <w:pPr>
        <w:spacing w:after="0" w:line="360" w:lineRule="auto"/>
        <w:ind w:firstLine="708"/>
        <w:jc w:val="center"/>
        <w:rPr>
          <w:rFonts w:ascii="Times New Roman" w:hAnsi="Times New Roman"/>
          <w:sz w:val="24"/>
        </w:rPr>
      </w:pPr>
    </w:p>
    <w:p w:rsidR="0023138A" w:rsidRPr="0023138A" w:rsidRDefault="0023138A" w:rsidP="0023138A">
      <w:pPr>
        <w:jc w:val="center"/>
        <w:rPr>
          <w:rFonts w:ascii="Times New Roman" w:hAnsi="Times New Roman"/>
        </w:rPr>
      </w:pPr>
      <w:r w:rsidRPr="0023138A">
        <w:rPr>
          <w:rFonts w:ascii="Times New Roman" w:hAnsi="Times New Roman"/>
        </w:rPr>
        <w:t>Gráfico 2 – Aspectos negativos apresentados pelos alunos que não receberam bolsas na graduação da ESEF/</w:t>
      </w:r>
      <w:proofErr w:type="gramStart"/>
      <w:r w:rsidRPr="0023138A">
        <w:rPr>
          <w:rFonts w:ascii="Times New Roman" w:hAnsi="Times New Roman"/>
        </w:rPr>
        <w:t>UFPel</w:t>
      </w:r>
      <w:proofErr w:type="gramEnd"/>
    </w:p>
    <w:p w:rsidR="0023138A" w:rsidRPr="0023138A" w:rsidRDefault="0023138A" w:rsidP="0023138A">
      <w:pPr>
        <w:jc w:val="center"/>
        <w:rPr>
          <w:rFonts w:ascii="Times New Roman" w:hAnsi="Times New Roman"/>
        </w:rPr>
      </w:pPr>
      <w:r w:rsidRPr="0023138A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621655" cy="1924050"/>
            <wp:effectExtent l="19050" t="0" r="17145" b="0"/>
            <wp:docPr id="1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138A" w:rsidRPr="0023138A" w:rsidRDefault="0023138A" w:rsidP="0023138A">
      <w:pPr>
        <w:jc w:val="center"/>
        <w:rPr>
          <w:rFonts w:ascii="Times New Roman" w:hAnsi="Times New Roman"/>
        </w:rPr>
      </w:pPr>
    </w:p>
    <w:p w:rsidR="0023138A" w:rsidRDefault="0023138A" w:rsidP="0023138A">
      <w:pPr>
        <w:spacing w:after="0" w:line="360" w:lineRule="auto"/>
        <w:ind w:left="284" w:right="28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Gráfico 3 – </w:t>
      </w:r>
      <w:r w:rsidRPr="00204202">
        <w:rPr>
          <w:rFonts w:ascii="Times New Roman" w:hAnsi="Times New Roman"/>
          <w:sz w:val="24"/>
        </w:rPr>
        <w:t xml:space="preserve">Fatores que dificultaram o acesso </w:t>
      </w:r>
      <w:r>
        <w:rPr>
          <w:rFonts w:ascii="Times New Roman" w:hAnsi="Times New Roman"/>
          <w:sz w:val="24"/>
        </w:rPr>
        <w:t>às</w:t>
      </w:r>
      <w:r w:rsidRPr="00204202">
        <w:rPr>
          <w:rFonts w:ascii="Times New Roman" w:hAnsi="Times New Roman"/>
          <w:sz w:val="24"/>
        </w:rPr>
        <w:t xml:space="preserve"> bolsas de acordo com acadêmicos não </w:t>
      </w:r>
      <w:r>
        <w:rPr>
          <w:rFonts w:ascii="Times New Roman" w:hAnsi="Times New Roman"/>
          <w:sz w:val="24"/>
        </w:rPr>
        <w:t xml:space="preserve">bolsistas </w:t>
      </w:r>
      <w:r w:rsidRPr="00204202">
        <w:rPr>
          <w:rFonts w:ascii="Times New Roman" w:hAnsi="Times New Roman"/>
          <w:sz w:val="24"/>
        </w:rPr>
        <w:t>na ESEF/</w:t>
      </w:r>
      <w:proofErr w:type="gramStart"/>
      <w:r w:rsidRPr="00204202">
        <w:rPr>
          <w:rFonts w:ascii="Times New Roman" w:hAnsi="Times New Roman"/>
          <w:sz w:val="24"/>
        </w:rPr>
        <w:t>UFPel</w:t>
      </w:r>
      <w:proofErr w:type="gramEnd"/>
      <w:r w:rsidRPr="00204202">
        <w:rPr>
          <w:rFonts w:ascii="Times New Roman" w:hAnsi="Times New Roman"/>
          <w:sz w:val="24"/>
        </w:rPr>
        <w:t>.</w:t>
      </w:r>
    </w:p>
    <w:p w:rsidR="0023138A" w:rsidRDefault="0023138A" w:rsidP="0023138A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5821708" cy="2361537"/>
            <wp:effectExtent l="19050" t="0" r="26642" b="663"/>
            <wp:docPr id="4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138A" w:rsidRDefault="0023138A" w:rsidP="0023138A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</w:p>
    <w:p w:rsidR="005D20C6" w:rsidRPr="00311F38" w:rsidRDefault="005D20C6" w:rsidP="005D20C6">
      <w:pPr>
        <w:spacing w:after="0" w:line="360" w:lineRule="auto"/>
        <w:ind w:left="1416" w:firstLine="708"/>
        <w:jc w:val="both"/>
        <w:rPr>
          <w:rFonts w:ascii="Times New Roman" w:hAnsi="Times New Roman"/>
          <w:sz w:val="24"/>
        </w:rPr>
      </w:pPr>
      <w:r w:rsidRPr="00311F38">
        <w:rPr>
          <w:rFonts w:ascii="Times New Roman" w:hAnsi="Times New Roman"/>
          <w:b/>
          <w:sz w:val="24"/>
        </w:rPr>
        <w:lastRenderedPageBreak/>
        <w:t>Tabela 1 –</w:t>
      </w:r>
      <w:r w:rsidRPr="00311F38">
        <w:rPr>
          <w:rFonts w:ascii="Times New Roman" w:hAnsi="Times New Roman"/>
          <w:sz w:val="24"/>
        </w:rPr>
        <w:t xml:space="preserve"> Relação de bolsas da ESEF/</w:t>
      </w:r>
      <w:proofErr w:type="gramStart"/>
      <w:r w:rsidRPr="00311F38">
        <w:rPr>
          <w:rFonts w:ascii="Times New Roman" w:hAnsi="Times New Roman"/>
          <w:sz w:val="24"/>
        </w:rPr>
        <w:t>UFPel</w:t>
      </w:r>
      <w:proofErr w:type="gramEnd"/>
    </w:p>
    <w:tbl>
      <w:tblPr>
        <w:tblW w:w="0" w:type="auto"/>
        <w:jc w:val="center"/>
        <w:tblInd w:w="-1297" w:type="dxa"/>
        <w:tblLook w:val="04A0"/>
      </w:tblPr>
      <w:tblGrid>
        <w:gridCol w:w="6619"/>
        <w:gridCol w:w="709"/>
        <w:gridCol w:w="1190"/>
      </w:tblGrid>
      <w:tr w:rsidR="005D20C6" w:rsidRPr="00ED0B7D" w:rsidTr="00111072">
        <w:trPr>
          <w:jc w:val="center"/>
        </w:trPr>
        <w:tc>
          <w:tcPr>
            <w:tcW w:w="6619" w:type="dxa"/>
            <w:tcBorders>
              <w:top w:val="single" w:sz="18" w:space="0" w:color="auto"/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0B7D">
              <w:rPr>
                <w:rFonts w:ascii="Times New Roman" w:hAnsi="Times New Roman"/>
                <w:b/>
                <w:sz w:val="24"/>
              </w:rPr>
              <w:t>Bolsistas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0B7D">
              <w:rPr>
                <w:rFonts w:ascii="Times New Roman" w:hAnsi="Times New Roman"/>
                <w:b/>
                <w:sz w:val="24"/>
              </w:rPr>
              <w:t>n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0B7D">
              <w:rPr>
                <w:rFonts w:ascii="Times New Roman" w:hAnsi="Times New Roman"/>
                <w:b/>
                <w:sz w:val="24"/>
              </w:rPr>
              <w:t>%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  <w:tcBorders>
              <w:top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Licenciatura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90" w:type="dxa"/>
            <w:tcBorders>
              <w:top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65,3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Bacharelado</w:t>
            </w:r>
          </w:p>
        </w:tc>
        <w:tc>
          <w:tcPr>
            <w:tcW w:w="709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90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34,7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  <w:tcBorders>
              <w:top w:val="single" w:sz="18" w:space="0" w:color="auto"/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0B7D">
              <w:rPr>
                <w:rFonts w:ascii="Times New Roman" w:hAnsi="Times New Roman"/>
                <w:b/>
                <w:sz w:val="24"/>
              </w:rPr>
              <w:t>Tipo de Bolsa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0B7D">
              <w:rPr>
                <w:rFonts w:ascii="Times New Roman" w:hAnsi="Times New Roman"/>
                <w:b/>
                <w:sz w:val="24"/>
              </w:rPr>
              <w:t>n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0B7D">
              <w:rPr>
                <w:rFonts w:ascii="Times New Roman" w:hAnsi="Times New Roman"/>
                <w:b/>
                <w:sz w:val="24"/>
              </w:rPr>
              <w:t>%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  <w:tcBorders>
              <w:top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Monitoria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90" w:type="dxa"/>
            <w:tcBorders>
              <w:top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22,4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Trabalho*</w:t>
            </w:r>
          </w:p>
        </w:tc>
        <w:tc>
          <w:tcPr>
            <w:tcW w:w="709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D0B7D">
              <w:rPr>
                <w:rFonts w:ascii="Times New Roman" w:hAnsi="Times New Roman"/>
                <w:sz w:val="24"/>
              </w:rPr>
              <w:t>5</w:t>
            </w:r>
            <w:proofErr w:type="gramEnd"/>
          </w:p>
        </w:tc>
        <w:tc>
          <w:tcPr>
            <w:tcW w:w="1190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10,2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Pesquisa (CAPES/CNPQ</w:t>
            </w:r>
            <w:proofErr w:type="gramStart"/>
            <w:r w:rsidRPr="00ED0B7D">
              <w:rPr>
                <w:rFonts w:ascii="Times New Roman" w:hAnsi="Times New Roman"/>
                <w:sz w:val="24"/>
              </w:rPr>
              <w:t>)</w:t>
            </w:r>
            <w:proofErr w:type="gramEnd"/>
            <w:r w:rsidRPr="00ED0B7D"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709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D0B7D">
              <w:rPr>
                <w:rFonts w:ascii="Times New Roman" w:hAnsi="Times New Roman"/>
                <w:sz w:val="24"/>
              </w:rPr>
              <w:t>2</w:t>
            </w:r>
            <w:proofErr w:type="gramEnd"/>
          </w:p>
        </w:tc>
        <w:tc>
          <w:tcPr>
            <w:tcW w:w="1190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4,1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FAPERGS***</w:t>
            </w:r>
          </w:p>
        </w:tc>
        <w:tc>
          <w:tcPr>
            <w:tcW w:w="709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D0B7D">
              <w:rPr>
                <w:rFonts w:ascii="Times New Roman" w:hAnsi="Times New Roman"/>
                <w:sz w:val="24"/>
              </w:rPr>
              <w:t>1</w:t>
            </w:r>
            <w:proofErr w:type="gramEnd"/>
          </w:p>
        </w:tc>
        <w:tc>
          <w:tcPr>
            <w:tcW w:w="1190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2,0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Programa de Bolsas de Extensão e Cultura</w:t>
            </w:r>
          </w:p>
        </w:tc>
        <w:tc>
          <w:tcPr>
            <w:tcW w:w="709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90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46,9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Programa de Educação Tutorial (PET)</w:t>
            </w:r>
          </w:p>
        </w:tc>
        <w:tc>
          <w:tcPr>
            <w:tcW w:w="709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D0B7D">
              <w:rPr>
                <w:rFonts w:ascii="Times New Roman" w:hAnsi="Times New Roman"/>
                <w:sz w:val="24"/>
              </w:rPr>
              <w:t>7</w:t>
            </w:r>
            <w:proofErr w:type="gramEnd"/>
          </w:p>
        </w:tc>
        <w:tc>
          <w:tcPr>
            <w:tcW w:w="1190" w:type="dxa"/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14,3</w:t>
            </w:r>
          </w:p>
        </w:tc>
      </w:tr>
      <w:tr w:rsidR="005D20C6" w:rsidRPr="00ED0B7D" w:rsidTr="00111072">
        <w:trPr>
          <w:jc w:val="center"/>
        </w:trPr>
        <w:tc>
          <w:tcPr>
            <w:tcW w:w="6619" w:type="dxa"/>
            <w:tcBorders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Outra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D0B7D"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1190" w:type="dxa"/>
            <w:tcBorders>
              <w:bottom w:val="single" w:sz="18" w:space="0" w:color="auto"/>
            </w:tcBorders>
          </w:tcPr>
          <w:p w:rsidR="005D20C6" w:rsidRPr="00ED0B7D" w:rsidRDefault="005D20C6" w:rsidP="0011107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ED0B7D">
              <w:rPr>
                <w:rFonts w:ascii="Times New Roman" w:hAnsi="Times New Roman"/>
                <w:sz w:val="24"/>
              </w:rPr>
              <w:t>8,2</w:t>
            </w:r>
          </w:p>
        </w:tc>
      </w:tr>
    </w:tbl>
    <w:p w:rsidR="005D20C6" w:rsidRPr="0001189E" w:rsidRDefault="005D20C6" w:rsidP="005D20C6">
      <w:pPr>
        <w:spacing w:after="0" w:line="360" w:lineRule="auto"/>
        <w:ind w:left="567"/>
        <w:jc w:val="both"/>
        <w:rPr>
          <w:rFonts w:ascii="Times New Roman" w:hAnsi="Times New Roman"/>
          <w:sz w:val="20"/>
        </w:rPr>
      </w:pPr>
      <w:r w:rsidRPr="0001189E">
        <w:rPr>
          <w:rFonts w:ascii="Times New Roman" w:hAnsi="Times New Roman"/>
          <w:sz w:val="20"/>
        </w:rPr>
        <w:t>* Estão inclusas as bolsas de trabalho na biblioteca e/ou no Laboratório de Informática da Graduação.</w:t>
      </w:r>
    </w:p>
    <w:p w:rsidR="005D20C6" w:rsidRPr="0001189E" w:rsidRDefault="005D20C6" w:rsidP="005D20C6">
      <w:pPr>
        <w:spacing w:after="0" w:line="360" w:lineRule="auto"/>
        <w:ind w:left="567"/>
        <w:jc w:val="both"/>
        <w:rPr>
          <w:rFonts w:ascii="Times New Roman" w:hAnsi="Times New Roman"/>
          <w:sz w:val="20"/>
        </w:rPr>
      </w:pPr>
      <w:r w:rsidRPr="0001189E">
        <w:rPr>
          <w:rFonts w:ascii="Times New Roman" w:hAnsi="Times New Roman"/>
          <w:sz w:val="20"/>
        </w:rPr>
        <w:t>** Estão inclusas as bolsas dos tipos PIBIC e PIBID.</w:t>
      </w:r>
    </w:p>
    <w:p w:rsidR="005D20C6" w:rsidRDefault="005D20C6" w:rsidP="005D20C6">
      <w:pPr>
        <w:spacing w:after="0" w:line="360" w:lineRule="auto"/>
        <w:ind w:left="567"/>
        <w:jc w:val="both"/>
        <w:rPr>
          <w:rFonts w:ascii="Times New Roman" w:hAnsi="Times New Roman"/>
          <w:sz w:val="20"/>
        </w:rPr>
      </w:pPr>
      <w:r w:rsidRPr="0001189E">
        <w:rPr>
          <w:rFonts w:ascii="Times New Roman" w:hAnsi="Times New Roman"/>
          <w:sz w:val="20"/>
        </w:rPr>
        <w:t>*** Estão inclusas as bolsas do tipo PROBIT e PROBIC.</w:t>
      </w:r>
    </w:p>
    <w:p w:rsidR="0067219B" w:rsidRPr="0023138A" w:rsidRDefault="0067219B" w:rsidP="0023138A">
      <w:pPr>
        <w:jc w:val="center"/>
        <w:rPr>
          <w:rFonts w:ascii="Times New Roman" w:hAnsi="Times New Roman"/>
        </w:rPr>
      </w:pPr>
    </w:p>
    <w:sectPr w:rsidR="0067219B" w:rsidRPr="0023138A" w:rsidSect="002313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138A"/>
    <w:rsid w:val="0023138A"/>
    <w:rsid w:val="005D20C6"/>
    <w:rsid w:val="0067219B"/>
    <w:rsid w:val="00FD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3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Auxílio da bolsa</c:v>
                </c:pt>
              </c:strCache>
            </c:strRef>
          </c:tx>
          <c:spPr>
            <a:solidFill>
              <a:schemeClr val="tx1"/>
            </a:solidFill>
          </c:spPr>
          <c:dLbls>
            <c:showVal val="1"/>
          </c:dLbls>
          <c:cat>
            <c:strRef>
              <c:f>Plan1!$A$2:$A$7</c:f>
              <c:strCache>
                <c:ptCount val="6"/>
                <c:pt idx="0">
                  <c:v>Auxílio Financeiro</c:v>
                </c:pt>
                <c:pt idx="1">
                  <c:v>Aumento do conhecimento na área</c:v>
                </c:pt>
                <c:pt idx="2">
                  <c:v>Melhor vida social</c:v>
                </c:pt>
                <c:pt idx="3">
                  <c:v>Aumento da Experiência</c:v>
                </c:pt>
                <c:pt idx="4">
                  <c:v>Dedicação exclusiva</c:v>
                </c:pt>
                <c:pt idx="5">
                  <c:v>Não houveram perdas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87.7</c:v>
                </c:pt>
                <c:pt idx="1">
                  <c:v>40.800000000000004</c:v>
                </c:pt>
                <c:pt idx="2">
                  <c:v>2</c:v>
                </c:pt>
                <c:pt idx="3">
                  <c:v>18.399999999999999</c:v>
                </c:pt>
                <c:pt idx="4">
                  <c:v>4</c:v>
                </c:pt>
                <c:pt idx="5">
                  <c:v>29.6</c:v>
                </c:pt>
              </c:numCache>
            </c:numRef>
          </c:val>
        </c:ser>
        <c:dLbls>
          <c:showVal val="1"/>
        </c:dLbls>
        <c:gapWidth val="75"/>
        <c:axId val="101132928"/>
        <c:axId val="101171584"/>
      </c:barChart>
      <c:catAx>
        <c:axId val="101132928"/>
        <c:scaling>
          <c:orientation val="minMax"/>
        </c:scaling>
        <c:axPos val="b"/>
        <c:numFmt formatCode="General" sourceLinked="1"/>
        <c:majorTickMark val="none"/>
        <c:tickLblPos val="nextTo"/>
        <c:crossAx val="101171584"/>
        <c:crosses val="autoZero"/>
        <c:auto val="1"/>
        <c:lblAlgn val="ctr"/>
        <c:lblOffset val="100"/>
      </c:catAx>
      <c:valAx>
        <c:axId val="101171584"/>
        <c:scaling>
          <c:orientation val="minMax"/>
        </c:scaling>
        <c:axPos val="l"/>
        <c:numFmt formatCode="General" sourceLinked="1"/>
        <c:majorTickMark val="none"/>
        <c:tickLblPos val="nextTo"/>
        <c:crossAx val="101132928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Comprometimento</c:v>
                </c:pt>
              </c:strCache>
            </c:strRef>
          </c:tx>
          <c:spPr>
            <a:solidFill>
              <a:schemeClr val="tx1"/>
            </a:solidFill>
          </c:spPr>
          <c:dLbls>
            <c:showVal val="1"/>
          </c:dLbls>
          <c:cat>
            <c:strRef>
              <c:f>Plan1!$A$2:$A$6</c:f>
              <c:strCache>
                <c:ptCount val="5"/>
                <c:pt idx="0">
                  <c:v>Perda de experiência</c:v>
                </c:pt>
                <c:pt idx="1">
                  <c:v>Perda financeira</c:v>
                </c:pt>
                <c:pt idx="2">
                  <c:v>Perda de conhecimento</c:v>
                </c:pt>
                <c:pt idx="3">
                  <c:v>Deixou de aprender</c:v>
                </c:pt>
                <c:pt idx="4">
                  <c:v>Currículo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22.2</c:v>
                </c:pt>
                <c:pt idx="1">
                  <c:v>7.4</c:v>
                </c:pt>
                <c:pt idx="2">
                  <c:v>25.9</c:v>
                </c:pt>
                <c:pt idx="3">
                  <c:v>11.1</c:v>
                </c:pt>
                <c:pt idx="4">
                  <c:v>3.7</c:v>
                </c:pt>
              </c:numCache>
            </c:numRef>
          </c:val>
        </c:ser>
        <c:dLbls>
          <c:showVal val="1"/>
        </c:dLbls>
        <c:gapWidth val="75"/>
        <c:axId val="101787136"/>
        <c:axId val="113531904"/>
      </c:barChart>
      <c:catAx>
        <c:axId val="101787136"/>
        <c:scaling>
          <c:orientation val="minMax"/>
        </c:scaling>
        <c:axPos val="b"/>
        <c:numFmt formatCode="General" sourceLinked="1"/>
        <c:majorTickMark val="none"/>
        <c:tickLblPos val="nextTo"/>
        <c:crossAx val="113531904"/>
        <c:crosses val="autoZero"/>
        <c:auto val="1"/>
        <c:lblAlgn val="ctr"/>
        <c:lblOffset val="100"/>
      </c:catAx>
      <c:valAx>
        <c:axId val="113531904"/>
        <c:scaling>
          <c:orientation val="minMax"/>
        </c:scaling>
        <c:axPos val="l"/>
        <c:numFmt formatCode="General" sourceLinked="1"/>
        <c:majorTickMark val="none"/>
        <c:tickLblPos val="nextTo"/>
        <c:crossAx val="101787136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174438687392228E-2"/>
          <c:y val="5.5776892430278883E-2"/>
          <c:w val="0.89119170984455953"/>
          <c:h val="0.5219123505976081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Motivos que dificultaram conseguir a bolsa</c:v>
                </c:pt>
              </c:strCache>
            </c:strRef>
          </c:tx>
          <c:spPr>
            <a:solidFill>
              <a:schemeClr val="tx1"/>
            </a:solidFill>
          </c:spPr>
          <c:dLbls>
            <c:showVal val="1"/>
          </c:dLbls>
          <c:cat>
            <c:strRef>
              <c:f>Plan1!$A$2:$A$9</c:f>
              <c:strCache>
                <c:ptCount val="8"/>
                <c:pt idx="0">
                  <c:v>Processo de seleção</c:v>
                </c:pt>
                <c:pt idx="1">
                  <c:v>Indiferença própria</c:v>
                </c:pt>
                <c:pt idx="2">
                  <c:v>Reside fora</c:v>
                </c:pt>
                <c:pt idx="3">
                  <c:v>Trabalha</c:v>
                </c:pt>
                <c:pt idx="4">
                  <c:v>Mérito acadêmico</c:v>
                </c:pt>
                <c:pt idx="5">
                  <c:v>Bolsas Insuficientes</c:v>
                </c:pt>
                <c:pt idx="6">
                  <c:v>Falta de tempo</c:v>
                </c:pt>
                <c:pt idx="7">
                  <c:v>Envolvimento docente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26.5</c:v>
                </c:pt>
                <c:pt idx="1">
                  <c:v>33.300000000000004</c:v>
                </c:pt>
                <c:pt idx="2">
                  <c:v>13.3</c:v>
                </c:pt>
                <c:pt idx="3">
                  <c:v>15.5</c:v>
                </c:pt>
                <c:pt idx="4">
                  <c:v>17.7</c:v>
                </c:pt>
                <c:pt idx="5">
                  <c:v>26.6</c:v>
                </c:pt>
                <c:pt idx="6">
                  <c:v>35.5</c:v>
                </c:pt>
                <c:pt idx="7">
                  <c:v>8.8000000000000007</c:v>
                </c:pt>
              </c:numCache>
            </c:numRef>
          </c:val>
        </c:ser>
        <c:dLbls>
          <c:showVal val="1"/>
        </c:dLbls>
        <c:gapWidth val="75"/>
        <c:axId val="116956544"/>
        <c:axId val="101287040"/>
      </c:barChart>
      <c:catAx>
        <c:axId val="116956544"/>
        <c:scaling>
          <c:orientation val="minMax"/>
        </c:scaling>
        <c:axPos val="b"/>
        <c:numFmt formatCode="General" sourceLinked="1"/>
        <c:majorTickMark val="none"/>
        <c:tickLblPos val="nextTo"/>
        <c:crossAx val="101287040"/>
        <c:crosses val="autoZero"/>
        <c:auto val="1"/>
        <c:lblAlgn val="ctr"/>
        <c:lblOffset val="100"/>
      </c:catAx>
      <c:valAx>
        <c:axId val="101287040"/>
        <c:scaling>
          <c:orientation val="minMax"/>
        </c:scaling>
        <c:axPos val="l"/>
        <c:numFmt formatCode="General" sourceLinked="1"/>
        <c:majorTickMark val="none"/>
        <c:tickLblPos val="nextTo"/>
        <c:crossAx val="1169565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pt-BR"/>
    </a:p>
  </c:txPr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Company>Trabalho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2012-03-25T19:07:00Z</dcterms:created>
  <dcterms:modified xsi:type="dcterms:W3CDTF">2012-03-25T19:16:00Z</dcterms:modified>
</cp:coreProperties>
</file>