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467" w:rsidRPr="00212EDF" w:rsidRDefault="00C30E20" w:rsidP="00CE21EB">
      <w:pPr>
        <w:jc w:val="center"/>
        <w:rPr>
          <w:rFonts w:ascii="Times New Roman" w:hAnsi="Times New Roman"/>
          <w:b/>
          <w:caps/>
          <w:sz w:val="24"/>
          <w:szCs w:val="24"/>
        </w:rPr>
      </w:pPr>
      <w:r w:rsidRPr="00212EDF">
        <w:rPr>
          <w:rFonts w:ascii="Times New Roman" w:hAnsi="Times New Roman"/>
          <w:b/>
          <w:caps/>
          <w:sz w:val="24"/>
          <w:szCs w:val="24"/>
        </w:rPr>
        <w:t>Fatores determinantes para adoção do Valor Justo na mensuração das Propriedades para Investimento</w:t>
      </w:r>
      <w:r w:rsidR="001B3467" w:rsidRPr="00212EDF">
        <w:rPr>
          <w:rFonts w:ascii="Times New Roman" w:hAnsi="Times New Roman"/>
          <w:b/>
          <w:caps/>
          <w:sz w:val="24"/>
          <w:szCs w:val="24"/>
        </w:rPr>
        <w:t xml:space="preserve"> - </w:t>
      </w:r>
      <w:r w:rsidRPr="00212EDF">
        <w:rPr>
          <w:rFonts w:ascii="Times New Roman" w:hAnsi="Times New Roman"/>
          <w:b/>
          <w:caps/>
          <w:sz w:val="24"/>
          <w:szCs w:val="24"/>
        </w:rPr>
        <w:t>Segmento de Exploração de Imóveis da BM&amp;FBOVESPA</w:t>
      </w:r>
    </w:p>
    <w:p w:rsidR="00D21113" w:rsidRDefault="00D21113">
      <w:pPr>
        <w:rPr>
          <w:rFonts w:ascii="Times New Roman" w:hAnsi="Times New Roman"/>
          <w:b/>
          <w:sz w:val="24"/>
          <w:szCs w:val="24"/>
        </w:rPr>
      </w:pPr>
    </w:p>
    <w:p w:rsidR="004B1B7E" w:rsidRDefault="004B1B7E">
      <w:pPr>
        <w:rPr>
          <w:rFonts w:ascii="Times New Roman" w:hAnsi="Times New Roman"/>
          <w:b/>
          <w:sz w:val="24"/>
          <w:szCs w:val="24"/>
        </w:rPr>
      </w:pPr>
    </w:p>
    <w:p w:rsidR="00D21113" w:rsidRPr="004A6076" w:rsidRDefault="00D21113" w:rsidP="00D21113">
      <w:pPr>
        <w:pStyle w:val="SemEspaamento"/>
        <w:jc w:val="center"/>
        <w:rPr>
          <w:rFonts w:ascii="Times New Roman" w:hAnsi="Times New Roman"/>
          <w:b/>
          <w:sz w:val="24"/>
          <w:szCs w:val="24"/>
        </w:rPr>
      </w:pPr>
      <w:r>
        <w:rPr>
          <w:rFonts w:ascii="Times New Roman" w:hAnsi="Times New Roman"/>
          <w:b/>
          <w:sz w:val="24"/>
          <w:szCs w:val="24"/>
        </w:rPr>
        <w:t>D</w:t>
      </w:r>
      <w:r w:rsidRPr="004A6076">
        <w:rPr>
          <w:rFonts w:ascii="Times New Roman" w:hAnsi="Times New Roman"/>
          <w:b/>
          <w:sz w:val="24"/>
          <w:szCs w:val="24"/>
        </w:rPr>
        <w:t>asio Araújo de Souza</w:t>
      </w:r>
    </w:p>
    <w:p w:rsidR="00D21113" w:rsidRPr="00546951" w:rsidRDefault="00D21113" w:rsidP="00D21113">
      <w:pPr>
        <w:pStyle w:val="SemEspaamento"/>
        <w:jc w:val="center"/>
        <w:rPr>
          <w:rFonts w:ascii="Times New Roman" w:hAnsi="Times New Roman"/>
          <w:sz w:val="24"/>
          <w:szCs w:val="24"/>
        </w:rPr>
      </w:pPr>
      <w:r w:rsidRPr="00546951">
        <w:rPr>
          <w:rFonts w:ascii="Times New Roman" w:hAnsi="Times New Roman"/>
          <w:sz w:val="24"/>
          <w:szCs w:val="24"/>
        </w:rPr>
        <w:t>Faculdade FIPECAFI</w:t>
      </w:r>
    </w:p>
    <w:p w:rsidR="00D21113" w:rsidRDefault="00D21113" w:rsidP="00D21113">
      <w:pPr>
        <w:pStyle w:val="SemEspaamento"/>
        <w:jc w:val="center"/>
        <w:rPr>
          <w:rFonts w:ascii="Times New Roman" w:hAnsi="Times New Roman"/>
          <w:sz w:val="24"/>
          <w:szCs w:val="24"/>
        </w:rPr>
      </w:pPr>
      <w:r w:rsidRPr="00546951">
        <w:rPr>
          <w:rFonts w:ascii="Times New Roman" w:hAnsi="Times New Roman"/>
          <w:sz w:val="24"/>
          <w:szCs w:val="24"/>
        </w:rPr>
        <w:t>Av. Maestro Cardim, n</w:t>
      </w:r>
      <w:r w:rsidRPr="00546951">
        <w:rPr>
          <w:rFonts w:ascii="Times New Roman" w:hAnsi="Times New Roman"/>
          <w:sz w:val="24"/>
          <w:szCs w:val="24"/>
        </w:rPr>
        <w:sym w:font="Symbol" w:char="F0B0"/>
      </w:r>
      <w:r w:rsidRPr="00546951">
        <w:rPr>
          <w:rFonts w:ascii="Times New Roman" w:hAnsi="Times New Roman"/>
          <w:sz w:val="24"/>
          <w:szCs w:val="24"/>
        </w:rPr>
        <w:t xml:space="preserve"> 1</w:t>
      </w:r>
      <w:r>
        <w:rPr>
          <w:rFonts w:ascii="Times New Roman" w:hAnsi="Times New Roman"/>
          <w:sz w:val="24"/>
          <w:szCs w:val="24"/>
        </w:rPr>
        <w:t>.</w:t>
      </w:r>
      <w:r w:rsidRPr="00546951">
        <w:rPr>
          <w:rFonts w:ascii="Times New Roman" w:hAnsi="Times New Roman"/>
          <w:sz w:val="24"/>
          <w:szCs w:val="24"/>
        </w:rPr>
        <w:t>170</w:t>
      </w:r>
      <w:r>
        <w:rPr>
          <w:rFonts w:ascii="Times New Roman" w:hAnsi="Times New Roman"/>
          <w:sz w:val="24"/>
          <w:szCs w:val="24"/>
        </w:rPr>
        <w:t xml:space="preserve">. Bairro Bela Vista. CEP: </w:t>
      </w:r>
      <w:r w:rsidRPr="00546951">
        <w:rPr>
          <w:rFonts w:ascii="Times New Roman" w:hAnsi="Times New Roman"/>
          <w:sz w:val="24"/>
          <w:szCs w:val="24"/>
        </w:rPr>
        <w:t>01323-001</w:t>
      </w:r>
      <w:r>
        <w:rPr>
          <w:rFonts w:ascii="Times New Roman" w:hAnsi="Times New Roman"/>
          <w:sz w:val="24"/>
          <w:szCs w:val="24"/>
        </w:rPr>
        <w:t xml:space="preserve">. São </w:t>
      </w:r>
      <w:proofErr w:type="spellStart"/>
      <w:r>
        <w:rPr>
          <w:rFonts w:ascii="Times New Roman" w:hAnsi="Times New Roman"/>
          <w:sz w:val="24"/>
          <w:szCs w:val="24"/>
        </w:rPr>
        <w:t>Paulo-SP</w:t>
      </w:r>
      <w:proofErr w:type="spellEnd"/>
      <w:r>
        <w:rPr>
          <w:rFonts w:ascii="Times New Roman" w:hAnsi="Times New Roman"/>
          <w:sz w:val="24"/>
          <w:szCs w:val="24"/>
        </w:rPr>
        <w:t>.</w:t>
      </w:r>
    </w:p>
    <w:p w:rsidR="00D21113" w:rsidRDefault="00D21113" w:rsidP="00D21113">
      <w:pPr>
        <w:pStyle w:val="SemEspaamento"/>
        <w:jc w:val="center"/>
        <w:rPr>
          <w:rFonts w:ascii="Times New Roman" w:hAnsi="Times New Roman"/>
          <w:sz w:val="24"/>
          <w:szCs w:val="24"/>
        </w:rPr>
      </w:pPr>
      <w:r>
        <w:rPr>
          <w:rFonts w:ascii="Times New Roman" w:hAnsi="Times New Roman"/>
          <w:sz w:val="24"/>
          <w:szCs w:val="24"/>
        </w:rPr>
        <w:t xml:space="preserve">E-mail: </w:t>
      </w:r>
      <w:r w:rsidR="004A6076">
        <w:rPr>
          <w:rFonts w:ascii="Times New Roman" w:hAnsi="Times New Roman"/>
          <w:sz w:val="24"/>
          <w:szCs w:val="24"/>
        </w:rPr>
        <w:t>dasiosouza@uol.com.br</w:t>
      </w:r>
    </w:p>
    <w:p w:rsidR="00D21113" w:rsidRDefault="00D21113" w:rsidP="00D21113">
      <w:pPr>
        <w:pStyle w:val="SemEspaamento"/>
        <w:jc w:val="center"/>
        <w:rPr>
          <w:rFonts w:ascii="Times New Roman" w:hAnsi="Times New Roman"/>
          <w:sz w:val="24"/>
          <w:szCs w:val="24"/>
        </w:rPr>
      </w:pPr>
    </w:p>
    <w:p w:rsidR="00D21113" w:rsidRDefault="004A6076" w:rsidP="00D21113">
      <w:pPr>
        <w:pStyle w:val="SemEspaamento"/>
        <w:jc w:val="center"/>
        <w:rPr>
          <w:rFonts w:ascii="Times New Roman" w:hAnsi="Times New Roman"/>
          <w:b/>
          <w:sz w:val="24"/>
          <w:szCs w:val="24"/>
        </w:rPr>
      </w:pPr>
      <w:r>
        <w:rPr>
          <w:rFonts w:ascii="Times New Roman" w:hAnsi="Times New Roman"/>
          <w:b/>
          <w:sz w:val="24"/>
          <w:szCs w:val="24"/>
        </w:rPr>
        <w:t>Adrian</w:t>
      </w:r>
      <w:r w:rsidR="004B1B7E">
        <w:rPr>
          <w:rFonts w:ascii="Times New Roman" w:hAnsi="Times New Roman"/>
          <w:b/>
          <w:sz w:val="24"/>
          <w:szCs w:val="24"/>
        </w:rPr>
        <w:t>o Pinto Teixeira</w:t>
      </w:r>
    </w:p>
    <w:p w:rsidR="00D21113" w:rsidRPr="00546951" w:rsidRDefault="00D21113" w:rsidP="00D21113">
      <w:pPr>
        <w:pStyle w:val="SemEspaamento"/>
        <w:jc w:val="center"/>
        <w:rPr>
          <w:rFonts w:ascii="Times New Roman" w:hAnsi="Times New Roman"/>
          <w:sz w:val="24"/>
          <w:szCs w:val="24"/>
        </w:rPr>
      </w:pPr>
      <w:r w:rsidRPr="00546951">
        <w:rPr>
          <w:rFonts w:ascii="Times New Roman" w:hAnsi="Times New Roman"/>
          <w:sz w:val="24"/>
          <w:szCs w:val="24"/>
        </w:rPr>
        <w:t xml:space="preserve">Mestre em Controladoria e </w:t>
      </w:r>
      <w:r>
        <w:rPr>
          <w:rFonts w:ascii="Times New Roman" w:hAnsi="Times New Roman"/>
          <w:sz w:val="24"/>
          <w:szCs w:val="24"/>
        </w:rPr>
        <w:t>Finanças</w:t>
      </w:r>
      <w:r w:rsidRPr="00546951">
        <w:rPr>
          <w:rFonts w:ascii="Times New Roman" w:hAnsi="Times New Roman"/>
          <w:sz w:val="24"/>
          <w:szCs w:val="24"/>
        </w:rPr>
        <w:t xml:space="preserve"> </w:t>
      </w:r>
      <w:r>
        <w:rPr>
          <w:rFonts w:ascii="Times New Roman" w:hAnsi="Times New Roman"/>
          <w:sz w:val="24"/>
          <w:szCs w:val="24"/>
        </w:rPr>
        <w:t>pela Faculdade FIPECAFI</w:t>
      </w:r>
    </w:p>
    <w:p w:rsidR="00D21113" w:rsidRPr="00546951" w:rsidRDefault="00D21113" w:rsidP="00D21113">
      <w:pPr>
        <w:pStyle w:val="SemEspaamento"/>
        <w:jc w:val="center"/>
        <w:rPr>
          <w:rFonts w:ascii="Times New Roman" w:hAnsi="Times New Roman"/>
          <w:sz w:val="24"/>
          <w:szCs w:val="24"/>
        </w:rPr>
      </w:pPr>
      <w:r w:rsidRPr="00546951">
        <w:rPr>
          <w:rFonts w:ascii="Times New Roman" w:hAnsi="Times New Roman"/>
          <w:sz w:val="24"/>
          <w:szCs w:val="24"/>
        </w:rPr>
        <w:t>Faculdade FIPECAFI</w:t>
      </w:r>
      <w:bookmarkStart w:id="0" w:name="_GoBack"/>
      <w:bookmarkEnd w:id="0"/>
    </w:p>
    <w:p w:rsidR="00D21113" w:rsidRDefault="00D21113" w:rsidP="00D21113">
      <w:pPr>
        <w:pStyle w:val="SemEspaamento"/>
        <w:jc w:val="center"/>
        <w:rPr>
          <w:rFonts w:ascii="Times New Roman" w:hAnsi="Times New Roman"/>
          <w:sz w:val="24"/>
          <w:szCs w:val="24"/>
        </w:rPr>
      </w:pPr>
      <w:r w:rsidRPr="00546951">
        <w:rPr>
          <w:rFonts w:ascii="Times New Roman" w:hAnsi="Times New Roman"/>
          <w:sz w:val="24"/>
          <w:szCs w:val="24"/>
        </w:rPr>
        <w:t>Av. Maestro Cardim, n</w:t>
      </w:r>
      <w:r w:rsidRPr="00546951">
        <w:rPr>
          <w:rFonts w:ascii="Times New Roman" w:hAnsi="Times New Roman"/>
          <w:sz w:val="24"/>
          <w:szCs w:val="24"/>
        </w:rPr>
        <w:sym w:font="Symbol" w:char="F0B0"/>
      </w:r>
      <w:r w:rsidRPr="00546951">
        <w:rPr>
          <w:rFonts w:ascii="Times New Roman" w:hAnsi="Times New Roman"/>
          <w:sz w:val="24"/>
          <w:szCs w:val="24"/>
        </w:rPr>
        <w:t xml:space="preserve"> 1</w:t>
      </w:r>
      <w:r>
        <w:rPr>
          <w:rFonts w:ascii="Times New Roman" w:hAnsi="Times New Roman"/>
          <w:sz w:val="24"/>
          <w:szCs w:val="24"/>
        </w:rPr>
        <w:t>.</w:t>
      </w:r>
      <w:r w:rsidRPr="00546951">
        <w:rPr>
          <w:rFonts w:ascii="Times New Roman" w:hAnsi="Times New Roman"/>
          <w:sz w:val="24"/>
          <w:szCs w:val="24"/>
        </w:rPr>
        <w:t>170</w:t>
      </w:r>
      <w:r>
        <w:rPr>
          <w:rFonts w:ascii="Times New Roman" w:hAnsi="Times New Roman"/>
          <w:sz w:val="24"/>
          <w:szCs w:val="24"/>
        </w:rPr>
        <w:t xml:space="preserve">. Bairro Bela Vista. CEP: </w:t>
      </w:r>
      <w:r w:rsidRPr="00546951">
        <w:rPr>
          <w:rFonts w:ascii="Times New Roman" w:hAnsi="Times New Roman"/>
          <w:sz w:val="24"/>
          <w:szCs w:val="24"/>
        </w:rPr>
        <w:t>01323-001</w:t>
      </w:r>
      <w:r>
        <w:rPr>
          <w:rFonts w:ascii="Times New Roman" w:hAnsi="Times New Roman"/>
          <w:sz w:val="24"/>
          <w:szCs w:val="24"/>
        </w:rPr>
        <w:t xml:space="preserve">. São </w:t>
      </w:r>
      <w:proofErr w:type="spellStart"/>
      <w:r>
        <w:rPr>
          <w:rFonts w:ascii="Times New Roman" w:hAnsi="Times New Roman"/>
          <w:sz w:val="24"/>
          <w:szCs w:val="24"/>
        </w:rPr>
        <w:t>Paulo-SP</w:t>
      </w:r>
      <w:proofErr w:type="spellEnd"/>
      <w:r>
        <w:rPr>
          <w:rFonts w:ascii="Times New Roman" w:hAnsi="Times New Roman"/>
          <w:sz w:val="24"/>
          <w:szCs w:val="24"/>
        </w:rPr>
        <w:t>.</w:t>
      </w:r>
    </w:p>
    <w:p w:rsidR="00D21113" w:rsidRDefault="00D21113" w:rsidP="00D21113">
      <w:pPr>
        <w:pStyle w:val="SemEspaamento"/>
        <w:jc w:val="center"/>
        <w:rPr>
          <w:rFonts w:ascii="Times New Roman" w:hAnsi="Times New Roman"/>
          <w:sz w:val="24"/>
          <w:szCs w:val="24"/>
        </w:rPr>
      </w:pPr>
      <w:r>
        <w:rPr>
          <w:rFonts w:ascii="Times New Roman" w:hAnsi="Times New Roman"/>
          <w:sz w:val="24"/>
          <w:szCs w:val="24"/>
        </w:rPr>
        <w:t xml:space="preserve">E-mail: </w:t>
      </w:r>
      <w:r w:rsidR="004B1B7E">
        <w:rPr>
          <w:rFonts w:ascii="Times New Roman" w:hAnsi="Times New Roman"/>
          <w:sz w:val="24"/>
          <w:szCs w:val="24"/>
        </w:rPr>
        <w:t>adriano.teixeira@fipecafi.edu.br</w:t>
      </w:r>
    </w:p>
    <w:p w:rsidR="00D21113" w:rsidRDefault="00D21113" w:rsidP="00D21113">
      <w:pPr>
        <w:pStyle w:val="SemEspaamento"/>
        <w:jc w:val="center"/>
        <w:rPr>
          <w:rFonts w:ascii="Times New Roman" w:hAnsi="Times New Roman"/>
          <w:sz w:val="24"/>
          <w:szCs w:val="24"/>
        </w:rPr>
      </w:pPr>
    </w:p>
    <w:p w:rsidR="004B1B7E" w:rsidRDefault="004B1B7E" w:rsidP="004B1B7E">
      <w:pPr>
        <w:pStyle w:val="SemEspaamento"/>
        <w:jc w:val="center"/>
        <w:rPr>
          <w:rFonts w:ascii="Times New Roman" w:hAnsi="Times New Roman"/>
          <w:b/>
          <w:sz w:val="24"/>
          <w:szCs w:val="24"/>
        </w:rPr>
      </w:pPr>
      <w:r>
        <w:rPr>
          <w:rFonts w:ascii="Times New Roman" w:hAnsi="Times New Roman"/>
          <w:b/>
          <w:sz w:val="24"/>
          <w:szCs w:val="24"/>
        </w:rPr>
        <w:t>Denise Silva Ferreira Juvenal</w:t>
      </w:r>
    </w:p>
    <w:p w:rsidR="004B1B7E" w:rsidRPr="00546951" w:rsidRDefault="004B1B7E" w:rsidP="004B1B7E">
      <w:pPr>
        <w:pStyle w:val="SemEspaamento"/>
        <w:jc w:val="center"/>
        <w:rPr>
          <w:rFonts w:ascii="Times New Roman" w:hAnsi="Times New Roman"/>
          <w:sz w:val="24"/>
          <w:szCs w:val="24"/>
        </w:rPr>
      </w:pPr>
      <w:r w:rsidRPr="00546951">
        <w:rPr>
          <w:rFonts w:ascii="Times New Roman" w:hAnsi="Times New Roman"/>
          <w:sz w:val="24"/>
          <w:szCs w:val="24"/>
        </w:rPr>
        <w:t xml:space="preserve">Mestre em Controladoria e </w:t>
      </w:r>
      <w:r>
        <w:rPr>
          <w:rFonts w:ascii="Times New Roman" w:hAnsi="Times New Roman"/>
          <w:sz w:val="24"/>
          <w:szCs w:val="24"/>
        </w:rPr>
        <w:t>Finanças</w:t>
      </w:r>
      <w:r w:rsidRPr="00546951">
        <w:rPr>
          <w:rFonts w:ascii="Times New Roman" w:hAnsi="Times New Roman"/>
          <w:sz w:val="24"/>
          <w:szCs w:val="24"/>
        </w:rPr>
        <w:t xml:space="preserve"> </w:t>
      </w:r>
      <w:r>
        <w:rPr>
          <w:rFonts w:ascii="Times New Roman" w:hAnsi="Times New Roman"/>
          <w:sz w:val="24"/>
          <w:szCs w:val="24"/>
        </w:rPr>
        <w:t>pela Faculdade FIPECAFI</w:t>
      </w:r>
    </w:p>
    <w:p w:rsidR="004B1B7E" w:rsidRPr="00546951" w:rsidRDefault="004B1B7E" w:rsidP="004B1B7E">
      <w:pPr>
        <w:pStyle w:val="SemEspaamento"/>
        <w:jc w:val="center"/>
        <w:rPr>
          <w:rFonts w:ascii="Times New Roman" w:hAnsi="Times New Roman"/>
          <w:sz w:val="24"/>
          <w:szCs w:val="24"/>
        </w:rPr>
      </w:pPr>
      <w:r w:rsidRPr="00546951">
        <w:rPr>
          <w:rFonts w:ascii="Times New Roman" w:hAnsi="Times New Roman"/>
          <w:sz w:val="24"/>
          <w:szCs w:val="24"/>
        </w:rPr>
        <w:t>Faculdade FIPECAFI</w:t>
      </w:r>
    </w:p>
    <w:p w:rsidR="004B1B7E" w:rsidRDefault="004B1B7E" w:rsidP="004B1B7E">
      <w:pPr>
        <w:pStyle w:val="SemEspaamento"/>
        <w:jc w:val="center"/>
        <w:rPr>
          <w:rFonts w:ascii="Times New Roman" w:hAnsi="Times New Roman"/>
          <w:sz w:val="24"/>
          <w:szCs w:val="24"/>
        </w:rPr>
      </w:pPr>
      <w:r w:rsidRPr="00546951">
        <w:rPr>
          <w:rFonts w:ascii="Times New Roman" w:hAnsi="Times New Roman"/>
          <w:sz w:val="24"/>
          <w:szCs w:val="24"/>
        </w:rPr>
        <w:t>Av. Maestro Cardim, n</w:t>
      </w:r>
      <w:r w:rsidRPr="00546951">
        <w:rPr>
          <w:rFonts w:ascii="Times New Roman" w:hAnsi="Times New Roman"/>
          <w:sz w:val="24"/>
          <w:szCs w:val="24"/>
        </w:rPr>
        <w:sym w:font="Symbol" w:char="F0B0"/>
      </w:r>
      <w:r w:rsidRPr="00546951">
        <w:rPr>
          <w:rFonts w:ascii="Times New Roman" w:hAnsi="Times New Roman"/>
          <w:sz w:val="24"/>
          <w:szCs w:val="24"/>
        </w:rPr>
        <w:t xml:space="preserve"> 1</w:t>
      </w:r>
      <w:r>
        <w:rPr>
          <w:rFonts w:ascii="Times New Roman" w:hAnsi="Times New Roman"/>
          <w:sz w:val="24"/>
          <w:szCs w:val="24"/>
        </w:rPr>
        <w:t>.</w:t>
      </w:r>
      <w:r w:rsidRPr="00546951">
        <w:rPr>
          <w:rFonts w:ascii="Times New Roman" w:hAnsi="Times New Roman"/>
          <w:sz w:val="24"/>
          <w:szCs w:val="24"/>
        </w:rPr>
        <w:t>170</w:t>
      </w:r>
      <w:r>
        <w:rPr>
          <w:rFonts w:ascii="Times New Roman" w:hAnsi="Times New Roman"/>
          <w:sz w:val="24"/>
          <w:szCs w:val="24"/>
        </w:rPr>
        <w:t xml:space="preserve">. Bairro Bela Vista. CEP: </w:t>
      </w:r>
      <w:r w:rsidRPr="00546951">
        <w:rPr>
          <w:rFonts w:ascii="Times New Roman" w:hAnsi="Times New Roman"/>
          <w:sz w:val="24"/>
          <w:szCs w:val="24"/>
        </w:rPr>
        <w:t>01323-001</w:t>
      </w:r>
      <w:r>
        <w:rPr>
          <w:rFonts w:ascii="Times New Roman" w:hAnsi="Times New Roman"/>
          <w:sz w:val="24"/>
          <w:szCs w:val="24"/>
        </w:rPr>
        <w:t xml:space="preserve">. São </w:t>
      </w:r>
      <w:proofErr w:type="spellStart"/>
      <w:r>
        <w:rPr>
          <w:rFonts w:ascii="Times New Roman" w:hAnsi="Times New Roman"/>
          <w:sz w:val="24"/>
          <w:szCs w:val="24"/>
        </w:rPr>
        <w:t>Paulo-SP</w:t>
      </w:r>
      <w:proofErr w:type="spellEnd"/>
      <w:r>
        <w:rPr>
          <w:rFonts w:ascii="Times New Roman" w:hAnsi="Times New Roman"/>
          <w:sz w:val="24"/>
          <w:szCs w:val="24"/>
        </w:rPr>
        <w:t>.</w:t>
      </w:r>
    </w:p>
    <w:p w:rsidR="004B1B7E" w:rsidRDefault="004B1B7E" w:rsidP="004B1B7E">
      <w:pPr>
        <w:pStyle w:val="SemEspaamento"/>
        <w:jc w:val="center"/>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rio1042370@terra.com.br</w:t>
      </w:r>
    </w:p>
    <w:p w:rsidR="004B1B7E" w:rsidRDefault="004B1B7E" w:rsidP="00D21113">
      <w:pPr>
        <w:pStyle w:val="SemEspaamento"/>
        <w:jc w:val="center"/>
        <w:rPr>
          <w:rFonts w:ascii="Times New Roman" w:hAnsi="Times New Roman"/>
          <w:b/>
          <w:sz w:val="24"/>
          <w:szCs w:val="24"/>
        </w:rPr>
      </w:pPr>
    </w:p>
    <w:p w:rsidR="00D21113" w:rsidRDefault="00D21113" w:rsidP="00D21113">
      <w:pPr>
        <w:pStyle w:val="SemEspaamento"/>
        <w:jc w:val="center"/>
        <w:rPr>
          <w:rFonts w:ascii="Times New Roman" w:hAnsi="Times New Roman"/>
          <w:b/>
          <w:sz w:val="24"/>
          <w:szCs w:val="24"/>
        </w:rPr>
      </w:pPr>
      <w:r>
        <w:rPr>
          <w:rFonts w:ascii="Times New Roman" w:hAnsi="Times New Roman"/>
          <w:b/>
          <w:sz w:val="24"/>
          <w:szCs w:val="24"/>
        </w:rPr>
        <w:t>Fabiana Lopes da Silva</w:t>
      </w:r>
    </w:p>
    <w:p w:rsidR="00D21113" w:rsidRPr="00546951" w:rsidRDefault="00D21113" w:rsidP="00D21113">
      <w:pPr>
        <w:pStyle w:val="SemEspaamento"/>
        <w:jc w:val="center"/>
        <w:rPr>
          <w:rFonts w:ascii="Times New Roman" w:hAnsi="Times New Roman"/>
          <w:sz w:val="24"/>
          <w:szCs w:val="24"/>
        </w:rPr>
      </w:pPr>
      <w:r>
        <w:rPr>
          <w:rFonts w:ascii="Times New Roman" w:hAnsi="Times New Roman"/>
          <w:sz w:val="24"/>
          <w:szCs w:val="24"/>
        </w:rPr>
        <w:t>Doutora em Controladoria e Contabilidade</w:t>
      </w:r>
      <w:r w:rsidRPr="00546951">
        <w:rPr>
          <w:rFonts w:ascii="Times New Roman" w:hAnsi="Times New Roman"/>
          <w:sz w:val="24"/>
          <w:szCs w:val="24"/>
        </w:rPr>
        <w:t xml:space="preserve"> </w:t>
      </w:r>
      <w:r>
        <w:rPr>
          <w:rFonts w:ascii="Times New Roman" w:hAnsi="Times New Roman"/>
          <w:sz w:val="24"/>
          <w:szCs w:val="24"/>
        </w:rPr>
        <w:t>pela FEA-USP</w:t>
      </w:r>
    </w:p>
    <w:p w:rsidR="00D21113" w:rsidRPr="00546951" w:rsidRDefault="00D21113" w:rsidP="00D21113">
      <w:pPr>
        <w:pStyle w:val="SemEspaamento"/>
        <w:jc w:val="center"/>
        <w:rPr>
          <w:rFonts w:ascii="Times New Roman" w:hAnsi="Times New Roman"/>
          <w:sz w:val="24"/>
          <w:szCs w:val="24"/>
        </w:rPr>
      </w:pPr>
      <w:r w:rsidRPr="00546951">
        <w:rPr>
          <w:rFonts w:ascii="Times New Roman" w:hAnsi="Times New Roman"/>
          <w:sz w:val="24"/>
          <w:szCs w:val="24"/>
        </w:rPr>
        <w:t>Faculdade FIPECAFI</w:t>
      </w:r>
    </w:p>
    <w:p w:rsidR="00D21113" w:rsidRDefault="00D21113" w:rsidP="00D21113">
      <w:pPr>
        <w:pStyle w:val="SemEspaamento"/>
        <w:jc w:val="center"/>
        <w:rPr>
          <w:rFonts w:ascii="Times New Roman" w:hAnsi="Times New Roman"/>
          <w:sz w:val="24"/>
          <w:szCs w:val="24"/>
        </w:rPr>
      </w:pPr>
      <w:r w:rsidRPr="00546951">
        <w:rPr>
          <w:rFonts w:ascii="Times New Roman" w:hAnsi="Times New Roman"/>
          <w:sz w:val="24"/>
          <w:szCs w:val="24"/>
        </w:rPr>
        <w:t>Av. Maestro Cardim, n</w:t>
      </w:r>
      <w:r w:rsidRPr="00546951">
        <w:rPr>
          <w:rFonts w:ascii="Times New Roman" w:hAnsi="Times New Roman"/>
          <w:sz w:val="24"/>
          <w:szCs w:val="24"/>
        </w:rPr>
        <w:sym w:font="Symbol" w:char="F0B0"/>
      </w:r>
      <w:r w:rsidRPr="00546951">
        <w:rPr>
          <w:rFonts w:ascii="Times New Roman" w:hAnsi="Times New Roman"/>
          <w:sz w:val="24"/>
          <w:szCs w:val="24"/>
        </w:rPr>
        <w:t xml:space="preserve"> 1</w:t>
      </w:r>
      <w:r>
        <w:rPr>
          <w:rFonts w:ascii="Times New Roman" w:hAnsi="Times New Roman"/>
          <w:sz w:val="24"/>
          <w:szCs w:val="24"/>
        </w:rPr>
        <w:t>.</w:t>
      </w:r>
      <w:r w:rsidRPr="00546951">
        <w:rPr>
          <w:rFonts w:ascii="Times New Roman" w:hAnsi="Times New Roman"/>
          <w:sz w:val="24"/>
          <w:szCs w:val="24"/>
        </w:rPr>
        <w:t>170</w:t>
      </w:r>
      <w:r>
        <w:rPr>
          <w:rFonts w:ascii="Times New Roman" w:hAnsi="Times New Roman"/>
          <w:sz w:val="24"/>
          <w:szCs w:val="24"/>
        </w:rPr>
        <w:t xml:space="preserve">. Bairro Bela Vista. CEP: </w:t>
      </w:r>
      <w:r w:rsidRPr="00546951">
        <w:rPr>
          <w:rFonts w:ascii="Times New Roman" w:hAnsi="Times New Roman"/>
          <w:sz w:val="24"/>
          <w:szCs w:val="24"/>
        </w:rPr>
        <w:t>01323-001</w:t>
      </w:r>
      <w:r>
        <w:rPr>
          <w:rFonts w:ascii="Times New Roman" w:hAnsi="Times New Roman"/>
          <w:sz w:val="24"/>
          <w:szCs w:val="24"/>
        </w:rPr>
        <w:t xml:space="preserve">. São </w:t>
      </w:r>
      <w:proofErr w:type="spellStart"/>
      <w:r>
        <w:rPr>
          <w:rFonts w:ascii="Times New Roman" w:hAnsi="Times New Roman"/>
          <w:sz w:val="24"/>
          <w:szCs w:val="24"/>
        </w:rPr>
        <w:t>Paulo-SP</w:t>
      </w:r>
      <w:proofErr w:type="spellEnd"/>
      <w:r>
        <w:rPr>
          <w:rFonts w:ascii="Times New Roman" w:hAnsi="Times New Roman"/>
          <w:sz w:val="24"/>
          <w:szCs w:val="24"/>
        </w:rPr>
        <w:t>.</w:t>
      </w:r>
    </w:p>
    <w:p w:rsidR="00D21113" w:rsidRDefault="00D21113" w:rsidP="00D21113">
      <w:pPr>
        <w:pStyle w:val="SemEspaamento"/>
        <w:jc w:val="center"/>
        <w:rPr>
          <w:rFonts w:ascii="Times New Roman" w:hAnsi="Times New Roman"/>
          <w:sz w:val="24"/>
          <w:szCs w:val="24"/>
        </w:rPr>
      </w:pPr>
      <w:r>
        <w:rPr>
          <w:rFonts w:ascii="Times New Roman" w:hAnsi="Times New Roman"/>
          <w:sz w:val="24"/>
          <w:szCs w:val="24"/>
        </w:rPr>
        <w:t>E-mail: fabiana.silva@fipecafi.org</w:t>
      </w:r>
    </w:p>
    <w:p w:rsidR="004B1B7E" w:rsidRDefault="004B1B7E" w:rsidP="00D21113">
      <w:pPr>
        <w:pStyle w:val="SemEspaamento"/>
        <w:jc w:val="center"/>
        <w:rPr>
          <w:rFonts w:ascii="Times New Roman" w:hAnsi="Times New Roman"/>
          <w:b/>
          <w:sz w:val="24"/>
          <w:szCs w:val="24"/>
        </w:rPr>
      </w:pPr>
    </w:p>
    <w:p w:rsidR="00D21113" w:rsidRDefault="00D21113" w:rsidP="00D21113">
      <w:pPr>
        <w:pStyle w:val="SemEspaamento"/>
        <w:jc w:val="center"/>
        <w:rPr>
          <w:rFonts w:ascii="Times New Roman" w:hAnsi="Times New Roman"/>
          <w:b/>
          <w:sz w:val="24"/>
          <w:szCs w:val="24"/>
        </w:rPr>
      </w:pPr>
      <w:r w:rsidRPr="00546951">
        <w:rPr>
          <w:rFonts w:ascii="Times New Roman" w:hAnsi="Times New Roman"/>
          <w:b/>
          <w:sz w:val="24"/>
          <w:szCs w:val="24"/>
        </w:rPr>
        <w:t>Marta Cristina Pelucio Grecco</w:t>
      </w:r>
    </w:p>
    <w:p w:rsidR="00D21113" w:rsidRPr="00546951" w:rsidRDefault="00D21113" w:rsidP="00D21113">
      <w:pPr>
        <w:pStyle w:val="SemEspaamento"/>
        <w:jc w:val="center"/>
        <w:rPr>
          <w:rFonts w:ascii="Times New Roman" w:hAnsi="Times New Roman"/>
          <w:sz w:val="24"/>
          <w:szCs w:val="24"/>
        </w:rPr>
      </w:pPr>
      <w:r w:rsidRPr="00546951">
        <w:rPr>
          <w:rFonts w:ascii="Times New Roman" w:hAnsi="Times New Roman"/>
          <w:sz w:val="24"/>
          <w:szCs w:val="24"/>
        </w:rPr>
        <w:t xml:space="preserve">Doutora em Administração de Empresas pelo Mackenzie e Mestre em Controladoria e Contabilidade pela FEA-USP </w:t>
      </w:r>
    </w:p>
    <w:p w:rsidR="00D21113" w:rsidRPr="00546951" w:rsidRDefault="00D21113" w:rsidP="00D21113">
      <w:pPr>
        <w:pStyle w:val="SemEspaamento"/>
        <w:jc w:val="center"/>
        <w:rPr>
          <w:rFonts w:ascii="Times New Roman" w:hAnsi="Times New Roman"/>
          <w:sz w:val="24"/>
          <w:szCs w:val="24"/>
        </w:rPr>
      </w:pPr>
      <w:r w:rsidRPr="00546951">
        <w:rPr>
          <w:rFonts w:ascii="Times New Roman" w:hAnsi="Times New Roman"/>
          <w:sz w:val="24"/>
          <w:szCs w:val="24"/>
        </w:rPr>
        <w:t>Faculdade FIPECAFI</w:t>
      </w:r>
    </w:p>
    <w:p w:rsidR="00D21113" w:rsidRDefault="00D21113" w:rsidP="00D21113">
      <w:pPr>
        <w:pStyle w:val="SemEspaamento"/>
        <w:jc w:val="center"/>
        <w:rPr>
          <w:rFonts w:ascii="Times New Roman" w:hAnsi="Times New Roman"/>
          <w:sz w:val="24"/>
          <w:szCs w:val="24"/>
        </w:rPr>
      </w:pPr>
      <w:r w:rsidRPr="00546951">
        <w:rPr>
          <w:rFonts w:ascii="Times New Roman" w:hAnsi="Times New Roman"/>
          <w:sz w:val="24"/>
          <w:szCs w:val="24"/>
        </w:rPr>
        <w:t>Av. Maestro Cardim, n</w:t>
      </w:r>
      <w:r w:rsidRPr="00546951">
        <w:rPr>
          <w:rFonts w:ascii="Times New Roman" w:hAnsi="Times New Roman"/>
          <w:sz w:val="24"/>
          <w:szCs w:val="24"/>
        </w:rPr>
        <w:sym w:font="Symbol" w:char="F0B0"/>
      </w:r>
      <w:r w:rsidRPr="00546951">
        <w:rPr>
          <w:rFonts w:ascii="Times New Roman" w:hAnsi="Times New Roman"/>
          <w:sz w:val="24"/>
          <w:szCs w:val="24"/>
        </w:rPr>
        <w:t xml:space="preserve"> 1</w:t>
      </w:r>
      <w:r>
        <w:rPr>
          <w:rFonts w:ascii="Times New Roman" w:hAnsi="Times New Roman"/>
          <w:sz w:val="24"/>
          <w:szCs w:val="24"/>
        </w:rPr>
        <w:t>.</w:t>
      </w:r>
      <w:r w:rsidRPr="00546951">
        <w:rPr>
          <w:rFonts w:ascii="Times New Roman" w:hAnsi="Times New Roman"/>
          <w:sz w:val="24"/>
          <w:szCs w:val="24"/>
        </w:rPr>
        <w:t>170</w:t>
      </w:r>
      <w:r>
        <w:rPr>
          <w:rFonts w:ascii="Times New Roman" w:hAnsi="Times New Roman"/>
          <w:sz w:val="24"/>
          <w:szCs w:val="24"/>
        </w:rPr>
        <w:t xml:space="preserve">. Bairro Bela Vista. CEP: </w:t>
      </w:r>
      <w:r w:rsidRPr="00546951">
        <w:rPr>
          <w:rFonts w:ascii="Times New Roman" w:hAnsi="Times New Roman"/>
          <w:sz w:val="24"/>
          <w:szCs w:val="24"/>
        </w:rPr>
        <w:t>01323-001</w:t>
      </w:r>
      <w:r>
        <w:rPr>
          <w:rFonts w:ascii="Times New Roman" w:hAnsi="Times New Roman"/>
          <w:sz w:val="24"/>
          <w:szCs w:val="24"/>
        </w:rPr>
        <w:t xml:space="preserve">. São </w:t>
      </w:r>
      <w:proofErr w:type="spellStart"/>
      <w:r>
        <w:rPr>
          <w:rFonts w:ascii="Times New Roman" w:hAnsi="Times New Roman"/>
          <w:sz w:val="24"/>
          <w:szCs w:val="24"/>
        </w:rPr>
        <w:t>Paulo-SP</w:t>
      </w:r>
      <w:proofErr w:type="spellEnd"/>
      <w:r>
        <w:rPr>
          <w:rFonts w:ascii="Times New Roman" w:hAnsi="Times New Roman"/>
          <w:sz w:val="24"/>
          <w:szCs w:val="24"/>
        </w:rPr>
        <w:t>.</w:t>
      </w:r>
    </w:p>
    <w:p w:rsidR="00D21113" w:rsidRDefault="00D21113" w:rsidP="00D21113">
      <w:pPr>
        <w:pStyle w:val="SemEspaamento"/>
        <w:jc w:val="center"/>
        <w:rPr>
          <w:rFonts w:ascii="Times New Roman" w:hAnsi="Times New Roman"/>
          <w:sz w:val="24"/>
          <w:szCs w:val="24"/>
        </w:rPr>
      </w:pPr>
      <w:r>
        <w:rPr>
          <w:rFonts w:ascii="Times New Roman" w:hAnsi="Times New Roman"/>
          <w:sz w:val="24"/>
          <w:szCs w:val="24"/>
        </w:rPr>
        <w:t xml:space="preserve">E-mail: </w:t>
      </w:r>
      <w:r w:rsidRPr="00C03CBA">
        <w:rPr>
          <w:rFonts w:ascii="Times New Roman" w:hAnsi="Times New Roman"/>
          <w:sz w:val="24"/>
          <w:szCs w:val="24"/>
        </w:rPr>
        <w:t>marta.pelucio@fipecafi.org</w:t>
      </w:r>
    </w:p>
    <w:p w:rsidR="00D21113" w:rsidRPr="00ED6743" w:rsidRDefault="00D21113" w:rsidP="00D21113">
      <w:pPr>
        <w:pStyle w:val="SemEspaamento"/>
        <w:jc w:val="center"/>
        <w:rPr>
          <w:rFonts w:ascii="Times New Roman" w:hAnsi="Times New Roman"/>
          <w:b/>
          <w:sz w:val="24"/>
          <w:szCs w:val="24"/>
        </w:rPr>
      </w:pPr>
      <w:r>
        <w:rPr>
          <w:rFonts w:ascii="Times New Roman" w:hAnsi="Times New Roman"/>
          <w:b/>
          <w:sz w:val="24"/>
          <w:szCs w:val="24"/>
        </w:rPr>
        <w:br w:type="page"/>
      </w:r>
    </w:p>
    <w:p w:rsidR="004B1B7E" w:rsidRDefault="004B1B7E" w:rsidP="00CE21EB">
      <w:pPr>
        <w:rPr>
          <w:rFonts w:ascii="Times New Roman" w:hAnsi="Times New Roman"/>
          <w:b/>
          <w:sz w:val="24"/>
          <w:szCs w:val="24"/>
        </w:rPr>
      </w:pPr>
    </w:p>
    <w:p w:rsidR="001B3467" w:rsidRDefault="000274E7" w:rsidP="00CE21EB">
      <w:pPr>
        <w:rPr>
          <w:rFonts w:ascii="Times New Roman" w:hAnsi="Times New Roman"/>
          <w:b/>
          <w:sz w:val="24"/>
          <w:szCs w:val="24"/>
        </w:rPr>
      </w:pPr>
      <w:r>
        <w:rPr>
          <w:rFonts w:ascii="Times New Roman" w:hAnsi="Times New Roman"/>
          <w:b/>
          <w:sz w:val="24"/>
          <w:szCs w:val="24"/>
        </w:rPr>
        <w:t>Resumo</w:t>
      </w:r>
    </w:p>
    <w:p w:rsidR="000031B8" w:rsidRDefault="00212EDF" w:rsidP="00CE21EB">
      <w:pPr>
        <w:jc w:val="both"/>
        <w:rPr>
          <w:rFonts w:ascii="Times New Roman" w:hAnsi="Times New Roman"/>
          <w:sz w:val="24"/>
          <w:szCs w:val="24"/>
        </w:rPr>
      </w:pPr>
      <w:r w:rsidRPr="00212EDF">
        <w:rPr>
          <w:rFonts w:ascii="Times New Roman" w:hAnsi="Times New Roman"/>
          <w:sz w:val="24"/>
          <w:szCs w:val="24"/>
        </w:rPr>
        <w:t>O estudo tem por objetivo</w:t>
      </w:r>
      <w:r w:rsidR="000031B8" w:rsidRPr="00212EDF">
        <w:rPr>
          <w:rFonts w:ascii="Times New Roman" w:hAnsi="Times New Roman"/>
          <w:sz w:val="24"/>
          <w:szCs w:val="24"/>
        </w:rPr>
        <w:t xml:space="preserve"> </w:t>
      </w:r>
      <w:r w:rsidR="00C30E20" w:rsidRPr="00212EDF">
        <w:rPr>
          <w:rFonts w:ascii="Times New Roman" w:hAnsi="Times New Roman"/>
          <w:bCs/>
          <w:sz w:val="24"/>
          <w:szCs w:val="24"/>
        </w:rPr>
        <w:t>i</w:t>
      </w:r>
      <w:r w:rsidR="000031B8" w:rsidRPr="00212EDF">
        <w:rPr>
          <w:rFonts w:ascii="Times New Roman" w:hAnsi="Times New Roman"/>
          <w:bCs/>
          <w:spacing w:val="6"/>
          <w:sz w:val="24"/>
          <w:szCs w:val="24"/>
        </w:rPr>
        <w:t>dentificar os fatores determinantes para adoção da Política Contábil do Va</w:t>
      </w:r>
      <w:r w:rsidR="00445AA5" w:rsidRPr="00212EDF">
        <w:rPr>
          <w:rFonts w:ascii="Times New Roman" w:hAnsi="Times New Roman"/>
          <w:bCs/>
          <w:spacing w:val="6"/>
          <w:sz w:val="24"/>
          <w:szCs w:val="24"/>
        </w:rPr>
        <w:t xml:space="preserve">lor Justo (PCVJ) na </w:t>
      </w:r>
      <w:r w:rsidR="000031B8" w:rsidRPr="00212EDF">
        <w:rPr>
          <w:rFonts w:ascii="Times New Roman" w:hAnsi="Times New Roman"/>
          <w:bCs/>
          <w:spacing w:val="6"/>
          <w:sz w:val="24"/>
          <w:szCs w:val="24"/>
        </w:rPr>
        <w:t>mensuração das Propriedades para Investimento</w:t>
      </w:r>
      <w:r w:rsidR="00007C59" w:rsidRPr="00212EDF">
        <w:rPr>
          <w:rFonts w:ascii="Times New Roman" w:hAnsi="Times New Roman"/>
          <w:bCs/>
          <w:spacing w:val="6"/>
          <w:sz w:val="24"/>
          <w:szCs w:val="24"/>
        </w:rPr>
        <w:t xml:space="preserve"> (PPI)</w:t>
      </w:r>
      <w:r w:rsidR="000031B8" w:rsidRPr="00212EDF">
        <w:rPr>
          <w:rFonts w:ascii="Times New Roman" w:hAnsi="Times New Roman"/>
          <w:bCs/>
          <w:spacing w:val="6"/>
          <w:sz w:val="24"/>
          <w:szCs w:val="24"/>
        </w:rPr>
        <w:t xml:space="preserve"> pelas Empresas do Segmento</w:t>
      </w:r>
      <w:r w:rsidR="000031B8" w:rsidRPr="002D76A3">
        <w:rPr>
          <w:rFonts w:ascii="Times New Roman" w:hAnsi="Times New Roman"/>
          <w:bCs/>
          <w:spacing w:val="6"/>
          <w:sz w:val="24"/>
          <w:szCs w:val="24"/>
        </w:rPr>
        <w:t xml:space="preserve"> de Exploração de Imóveis listadas na BM&amp;FBOVESPA</w:t>
      </w:r>
      <w:r w:rsidR="00445AA5">
        <w:rPr>
          <w:rFonts w:ascii="Times New Roman" w:hAnsi="Times New Roman"/>
          <w:bCs/>
          <w:spacing w:val="6"/>
          <w:sz w:val="24"/>
          <w:szCs w:val="24"/>
        </w:rPr>
        <w:t>.</w:t>
      </w:r>
      <w:r>
        <w:rPr>
          <w:rFonts w:ascii="Times New Roman" w:hAnsi="Times New Roman"/>
          <w:bCs/>
          <w:spacing w:val="6"/>
          <w:sz w:val="24"/>
          <w:szCs w:val="24"/>
        </w:rPr>
        <w:t xml:space="preserve"> Para tanto, o</w:t>
      </w:r>
      <w:r w:rsidR="00C30E20">
        <w:rPr>
          <w:rFonts w:ascii="Times New Roman" w:hAnsi="Times New Roman"/>
          <w:bCs/>
          <w:sz w:val="24"/>
          <w:szCs w:val="24"/>
        </w:rPr>
        <w:t xml:space="preserve">s dados contemplaram 10 empresas </w:t>
      </w:r>
      <w:r w:rsidR="00C30E20">
        <w:rPr>
          <w:rFonts w:ascii="Times New Roman" w:hAnsi="Times New Roman"/>
          <w:sz w:val="24"/>
          <w:szCs w:val="24"/>
        </w:rPr>
        <w:t>no período de 2010 a 2015, considerando:</w:t>
      </w:r>
      <w:r w:rsidR="00C30E20">
        <w:rPr>
          <w:rFonts w:ascii="Times New Roman" w:hAnsi="Times New Roman"/>
          <w:bCs/>
          <w:sz w:val="24"/>
          <w:szCs w:val="24"/>
        </w:rPr>
        <w:t xml:space="preserve"> </w:t>
      </w:r>
      <w:r w:rsidR="000031B8" w:rsidRPr="00275F5B">
        <w:rPr>
          <w:rFonts w:ascii="Times New Roman" w:hAnsi="Times New Roman"/>
          <w:bCs/>
          <w:sz w:val="24"/>
          <w:szCs w:val="24"/>
        </w:rPr>
        <w:t>po</w:t>
      </w:r>
      <w:r w:rsidR="00445AA5">
        <w:rPr>
          <w:rFonts w:ascii="Times New Roman" w:hAnsi="Times New Roman"/>
          <w:bCs/>
          <w:sz w:val="24"/>
          <w:szCs w:val="24"/>
        </w:rPr>
        <w:t>rte</w:t>
      </w:r>
      <w:r w:rsidR="000031B8" w:rsidRPr="00275F5B">
        <w:rPr>
          <w:rFonts w:ascii="Times New Roman" w:hAnsi="Times New Roman"/>
          <w:bCs/>
          <w:sz w:val="24"/>
          <w:szCs w:val="24"/>
        </w:rPr>
        <w:t>, índ</w:t>
      </w:r>
      <w:r w:rsidR="00752991">
        <w:rPr>
          <w:rFonts w:ascii="Times New Roman" w:hAnsi="Times New Roman"/>
          <w:bCs/>
          <w:sz w:val="24"/>
          <w:szCs w:val="24"/>
        </w:rPr>
        <w:t>ices (</w:t>
      </w:r>
      <w:r w:rsidR="000031B8" w:rsidRPr="00343BAE">
        <w:rPr>
          <w:rFonts w:ascii="Times New Roman" w:hAnsi="Times New Roman"/>
          <w:bCs/>
          <w:sz w:val="24"/>
          <w:szCs w:val="24"/>
        </w:rPr>
        <w:t>rentabilidade e endividamento</w:t>
      </w:r>
      <w:r w:rsidR="00752991">
        <w:rPr>
          <w:rFonts w:ascii="Times New Roman" w:hAnsi="Times New Roman"/>
          <w:bCs/>
          <w:sz w:val="24"/>
          <w:szCs w:val="24"/>
        </w:rPr>
        <w:t>)</w:t>
      </w:r>
      <w:r w:rsidR="000031B8" w:rsidRPr="00343BAE">
        <w:rPr>
          <w:rFonts w:ascii="Times New Roman" w:hAnsi="Times New Roman"/>
          <w:bCs/>
          <w:sz w:val="24"/>
          <w:szCs w:val="24"/>
        </w:rPr>
        <w:t xml:space="preserve">, </w:t>
      </w:r>
      <w:r w:rsidR="000031B8">
        <w:rPr>
          <w:rFonts w:ascii="Times New Roman" w:hAnsi="Times New Roman"/>
          <w:bCs/>
          <w:sz w:val="24"/>
          <w:szCs w:val="24"/>
        </w:rPr>
        <w:t>lucro líquido e pagamento de dividendos</w:t>
      </w:r>
      <w:r w:rsidR="00C30E20">
        <w:rPr>
          <w:rFonts w:ascii="Times New Roman" w:hAnsi="Times New Roman"/>
          <w:bCs/>
          <w:sz w:val="24"/>
          <w:szCs w:val="24"/>
        </w:rPr>
        <w:t xml:space="preserve">. </w:t>
      </w:r>
      <w:r w:rsidR="00557FC4">
        <w:rPr>
          <w:rFonts w:ascii="Times New Roman" w:hAnsi="Times New Roman"/>
          <w:bCs/>
          <w:sz w:val="24"/>
          <w:szCs w:val="24"/>
        </w:rPr>
        <w:t>Aplicou-se</w:t>
      </w:r>
      <w:r w:rsidR="00752991">
        <w:rPr>
          <w:rFonts w:ascii="Times New Roman" w:hAnsi="Times New Roman"/>
          <w:bCs/>
          <w:sz w:val="24"/>
          <w:szCs w:val="24"/>
        </w:rPr>
        <w:t xml:space="preserve"> a</w:t>
      </w:r>
      <w:r w:rsidR="00752991" w:rsidRPr="00623FE2">
        <w:rPr>
          <w:rFonts w:ascii="Times New Roman" w:hAnsi="Times New Roman"/>
          <w:bCs/>
          <w:sz w:val="24"/>
          <w:szCs w:val="24"/>
        </w:rPr>
        <w:t xml:space="preserve"> Regressã</w:t>
      </w:r>
      <w:r w:rsidR="00752991">
        <w:rPr>
          <w:rFonts w:ascii="Times New Roman" w:hAnsi="Times New Roman"/>
          <w:bCs/>
          <w:sz w:val="24"/>
          <w:szCs w:val="24"/>
        </w:rPr>
        <w:t>o Logística para identificar as variáveis que</w:t>
      </w:r>
      <w:r w:rsidR="00752991" w:rsidRPr="00623FE2">
        <w:rPr>
          <w:rFonts w:ascii="Times New Roman" w:hAnsi="Times New Roman"/>
          <w:bCs/>
          <w:sz w:val="24"/>
          <w:szCs w:val="24"/>
        </w:rPr>
        <w:t xml:space="preserve"> impactam na probabilidade de escolha do método do Valor Justo</w:t>
      </w:r>
      <w:r w:rsidR="00752991">
        <w:rPr>
          <w:rFonts w:ascii="Times New Roman" w:hAnsi="Times New Roman"/>
          <w:b/>
          <w:sz w:val="24"/>
          <w:szCs w:val="24"/>
        </w:rPr>
        <w:t xml:space="preserve"> </w:t>
      </w:r>
      <w:r w:rsidR="00752991">
        <w:rPr>
          <w:rFonts w:ascii="Times New Roman" w:hAnsi="Times New Roman"/>
          <w:sz w:val="24"/>
          <w:szCs w:val="24"/>
        </w:rPr>
        <w:t xml:space="preserve">(MVJ) </w:t>
      </w:r>
      <w:r w:rsidR="00752991" w:rsidRPr="00752991">
        <w:rPr>
          <w:rFonts w:ascii="Times New Roman" w:hAnsi="Times New Roman"/>
          <w:sz w:val="24"/>
          <w:szCs w:val="24"/>
        </w:rPr>
        <w:t xml:space="preserve">e </w:t>
      </w:r>
      <w:r w:rsidR="00C30E20" w:rsidRPr="00623FE2">
        <w:rPr>
          <w:rFonts w:ascii="Times New Roman" w:hAnsi="Times New Roman"/>
          <w:bCs/>
          <w:sz w:val="24"/>
          <w:szCs w:val="24"/>
        </w:rPr>
        <w:t>o te</w:t>
      </w:r>
      <w:r w:rsidR="00C30E20">
        <w:rPr>
          <w:rFonts w:ascii="Times New Roman" w:hAnsi="Times New Roman"/>
          <w:bCs/>
          <w:sz w:val="24"/>
          <w:szCs w:val="24"/>
        </w:rPr>
        <w:t>ste de Mann-Whitney</w:t>
      </w:r>
      <w:r w:rsidR="00C30E20">
        <w:rPr>
          <w:rFonts w:ascii="Times New Roman" w:hAnsi="Times New Roman"/>
          <w:bCs/>
          <w:spacing w:val="-6"/>
          <w:sz w:val="24"/>
          <w:szCs w:val="24"/>
        </w:rPr>
        <w:t xml:space="preserve"> p</w:t>
      </w:r>
      <w:r w:rsidR="000031B8" w:rsidRPr="00F345DA">
        <w:rPr>
          <w:rFonts w:ascii="Times New Roman" w:hAnsi="Times New Roman"/>
          <w:bCs/>
          <w:spacing w:val="-6"/>
          <w:sz w:val="24"/>
          <w:szCs w:val="24"/>
        </w:rPr>
        <w:t xml:space="preserve">ara </w:t>
      </w:r>
      <w:r w:rsidR="00557FC4">
        <w:rPr>
          <w:rFonts w:ascii="Times New Roman" w:hAnsi="Times New Roman"/>
          <w:bCs/>
          <w:spacing w:val="-6"/>
          <w:sz w:val="24"/>
          <w:szCs w:val="24"/>
        </w:rPr>
        <w:t>avaliar</w:t>
      </w:r>
      <w:r w:rsidR="000031B8" w:rsidRPr="00F345DA">
        <w:rPr>
          <w:rFonts w:ascii="Times New Roman" w:hAnsi="Times New Roman"/>
          <w:bCs/>
          <w:spacing w:val="-6"/>
          <w:sz w:val="24"/>
          <w:szCs w:val="24"/>
        </w:rPr>
        <w:t xml:space="preserve"> se há diferença na política de distribuição de dividendos </w:t>
      </w:r>
      <w:r w:rsidR="00FD31BE">
        <w:rPr>
          <w:rFonts w:ascii="Times New Roman" w:hAnsi="Times New Roman"/>
          <w:bCs/>
          <w:spacing w:val="-6"/>
          <w:sz w:val="24"/>
          <w:szCs w:val="24"/>
        </w:rPr>
        <w:t xml:space="preserve">(DD) </w:t>
      </w:r>
      <w:r w:rsidR="000031B8" w:rsidRPr="00F345DA">
        <w:rPr>
          <w:rFonts w:ascii="Times New Roman" w:hAnsi="Times New Roman"/>
          <w:bCs/>
          <w:spacing w:val="-6"/>
          <w:sz w:val="24"/>
          <w:szCs w:val="24"/>
        </w:rPr>
        <w:t>e juros sobre capital próprio</w:t>
      </w:r>
      <w:r w:rsidR="00C30E20">
        <w:rPr>
          <w:rFonts w:ascii="Times New Roman" w:hAnsi="Times New Roman"/>
          <w:bCs/>
          <w:spacing w:val="-6"/>
          <w:sz w:val="24"/>
          <w:szCs w:val="24"/>
        </w:rPr>
        <w:t xml:space="preserve"> (JCP)</w:t>
      </w:r>
      <w:r w:rsidR="000031B8" w:rsidRPr="00F345DA">
        <w:rPr>
          <w:rFonts w:ascii="Times New Roman" w:hAnsi="Times New Roman"/>
          <w:bCs/>
          <w:spacing w:val="-6"/>
          <w:sz w:val="24"/>
          <w:szCs w:val="24"/>
        </w:rPr>
        <w:t xml:space="preserve"> entre as empresas que adotam o valor j</w:t>
      </w:r>
      <w:r w:rsidR="00557FC4">
        <w:rPr>
          <w:rFonts w:ascii="Times New Roman" w:hAnsi="Times New Roman"/>
          <w:bCs/>
          <w:spacing w:val="-6"/>
          <w:sz w:val="24"/>
          <w:szCs w:val="24"/>
        </w:rPr>
        <w:t xml:space="preserve">usto e as </w:t>
      </w:r>
      <w:r w:rsidR="000031B8" w:rsidRPr="00F345DA">
        <w:rPr>
          <w:rFonts w:ascii="Times New Roman" w:hAnsi="Times New Roman"/>
          <w:bCs/>
          <w:spacing w:val="-6"/>
          <w:sz w:val="24"/>
          <w:szCs w:val="24"/>
        </w:rPr>
        <w:t>que optam pelo método de custo</w:t>
      </w:r>
      <w:r w:rsidR="00752991">
        <w:rPr>
          <w:rFonts w:ascii="Times New Roman" w:hAnsi="Times New Roman"/>
          <w:bCs/>
          <w:spacing w:val="-6"/>
          <w:sz w:val="24"/>
          <w:szCs w:val="24"/>
        </w:rPr>
        <w:t xml:space="preserve"> (MC)</w:t>
      </w:r>
      <w:r w:rsidR="000031B8">
        <w:rPr>
          <w:rFonts w:ascii="Times New Roman" w:hAnsi="Times New Roman"/>
          <w:bCs/>
          <w:sz w:val="24"/>
          <w:szCs w:val="24"/>
        </w:rPr>
        <w:t>.</w:t>
      </w:r>
      <w:r w:rsidR="000031B8">
        <w:rPr>
          <w:rFonts w:ascii="Times New Roman" w:hAnsi="Times New Roman"/>
          <w:b/>
          <w:sz w:val="24"/>
          <w:szCs w:val="24"/>
        </w:rPr>
        <w:t xml:space="preserve"> </w:t>
      </w:r>
      <w:r w:rsidR="000031B8">
        <w:rPr>
          <w:rFonts w:ascii="Times New Roman" w:hAnsi="Times New Roman"/>
          <w:bCs/>
          <w:sz w:val="24"/>
          <w:szCs w:val="24"/>
        </w:rPr>
        <w:t>Os resultados sugerem que</w:t>
      </w:r>
      <w:r w:rsidR="00FD31BE">
        <w:rPr>
          <w:rFonts w:ascii="Times New Roman" w:hAnsi="Times New Roman"/>
          <w:sz w:val="24"/>
          <w:szCs w:val="24"/>
        </w:rPr>
        <w:t xml:space="preserve"> quanto menor o</w:t>
      </w:r>
      <w:r w:rsidR="000031B8" w:rsidRPr="00623FE2">
        <w:rPr>
          <w:rFonts w:ascii="Times New Roman" w:hAnsi="Times New Roman"/>
          <w:sz w:val="24"/>
          <w:szCs w:val="24"/>
        </w:rPr>
        <w:t xml:space="preserve"> endividamento e retorno sobre o Patrimônio Líqu</w:t>
      </w:r>
      <w:r w:rsidR="00FD31BE">
        <w:rPr>
          <w:rFonts w:ascii="Times New Roman" w:hAnsi="Times New Roman"/>
          <w:sz w:val="24"/>
          <w:szCs w:val="24"/>
        </w:rPr>
        <w:t>ido e maior Ativo Total, maior probabilidade da escolha</w:t>
      </w:r>
      <w:r w:rsidR="000031B8" w:rsidRPr="00623FE2">
        <w:rPr>
          <w:rFonts w:ascii="Times New Roman" w:hAnsi="Times New Roman"/>
          <w:sz w:val="24"/>
          <w:szCs w:val="24"/>
        </w:rPr>
        <w:t xml:space="preserve"> </w:t>
      </w:r>
      <w:r w:rsidR="00FD31BE">
        <w:rPr>
          <w:rFonts w:ascii="Times New Roman" w:hAnsi="Times New Roman"/>
          <w:sz w:val="24"/>
          <w:szCs w:val="24"/>
        </w:rPr>
        <w:t>pelo</w:t>
      </w:r>
      <w:r w:rsidR="000031B8" w:rsidRPr="00623FE2">
        <w:rPr>
          <w:rFonts w:ascii="Times New Roman" w:hAnsi="Times New Roman"/>
          <w:sz w:val="24"/>
          <w:szCs w:val="24"/>
        </w:rPr>
        <w:t xml:space="preserve"> </w:t>
      </w:r>
      <w:r w:rsidR="00752991">
        <w:rPr>
          <w:rFonts w:ascii="Times New Roman" w:hAnsi="Times New Roman"/>
          <w:sz w:val="24"/>
          <w:szCs w:val="24"/>
        </w:rPr>
        <w:t>MVJ</w:t>
      </w:r>
      <w:r w:rsidR="000031B8" w:rsidRPr="00623FE2">
        <w:rPr>
          <w:rFonts w:ascii="Times New Roman" w:hAnsi="Times New Roman"/>
          <w:sz w:val="24"/>
          <w:szCs w:val="24"/>
        </w:rPr>
        <w:t xml:space="preserve">. </w:t>
      </w:r>
      <w:r w:rsidR="00445AA5">
        <w:rPr>
          <w:rFonts w:ascii="Times New Roman" w:hAnsi="Times New Roman"/>
          <w:sz w:val="24"/>
          <w:szCs w:val="24"/>
        </w:rPr>
        <w:t>Q</w:t>
      </w:r>
      <w:r w:rsidR="000031B8" w:rsidRPr="00DC0672">
        <w:rPr>
          <w:rFonts w:ascii="Times New Roman" w:hAnsi="Times New Roman"/>
          <w:bCs/>
          <w:spacing w:val="6"/>
          <w:sz w:val="24"/>
          <w:szCs w:val="24"/>
        </w:rPr>
        <w:t xml:space="preserve">uanto a </w:t>
      </w:r>
      <w:r w:rsidR="00FD31BE">
        <w:rPr>
          <w:rFonts w:ascii="Times New Roman" w:hAnsi="Times New Roman"/>
          <w:bCs/>
          <w:spacing w:val="6"/>
          <w:sz w:val="24"/>
          <w:szCs w:val="24"/>
        </w:rPr>
        <w:t>DD</w:t>
      </w:r>
      <w:r w:rsidR="000031B8" w:rsidRPr="00DC0672">
        <w:rPr>
          <w:rFonts w:ascii="Times New Roman" w:hAnsi="Times New Roman"/>
          <w:bCs/>
          <w:spacing w:val="6"/>
          <w:sz w:val="24"/>
          <w:szCs w:val="24"/>
        </w:rPr>
        <w:t xml:space="preserve"> e </w:t>
      </w:r>
      <w:r w:rsidR="00FD31BE">
        <w:rPr>
          <w:rFonts w:ascii="Times New Roman" w:hAnsi="Times New Roman"/>
          <w:bCs/>
          <w:spacing w:val="6"/>
          <w:sz w:val="24"/>
          <w:szCs w:val="24"/>
        </w:rPr>
        <w:t>o JCP</w:t>
      </w:r>
      <w:r w:rsidR="00445AA5">
        <w:rPr>
          <w:rFonts w:ascii="Times New Roman" w:hAnsi="Times New Roman"/>
          <w:bCs/>
          <w:spacing w:val="6"/>
          <w:sz w:val="24"/>
          <w:szCs w:val="24"/>
        </w:rPr>
        <w:t xml:space="preserve">, </w:t>
      </w:r>
      <w:r w:rsidR="000031B8" w:rsidRPr="00F345DA">
        <w:rPr>
          <w:rFonts w:ascii="Times New Roman" w:hAnsi="Times New Roman"/>
          <w:sz w:val="24"/>
          <w:szCs w:val="24"/>
        </w:rPr>
        <w:t>as empresas que adotam a mensu</w:t>
      </w:r>
      <w:r w:rsidR="000031B8" w:rsidRPr="00623FE2">
        <w:rPr>
          <w:rFonts w:ascii="Times New Roman" w:hAnsi="Times New Roman"/>
          <w:sz w:val="24"/>
          <w:szCs w:val="24"/>
        </w:rPr>
        <w:t xml:space="preserve">ração ao valor justo distribuíram percentual médio maior que as empresas que adotaram o </w:t>
      </w:r>
      <w:r w:rsidR="00752991">
        <w:rPr>
          <w:rFonts w:ascii="Times New Roman" w:hAnsi="Times New Roman"/>
          <w:sz w:val="24"/>
          <w:szCs w:val="24"/>
        </w:rPr>
        <w:t>MC</w:t>
      </w:r>
      <w:r w:rsidR="000031B8">
        <w:rPr>
          <w:rFonts w:ascii="Times New Roman" w:hAnsi="Times New Roman"/>
          <w:sz w:val="24"/>
          <w:szCs w:val="24"/>
        </w:rPr>
        <w:t xml:space="preserve">, não </w:t>
      </w:r>
      <w:proofErr w:type="gramStart"/>
      <w:r w:rsidR="000031B8">
        <w:rPr>
          <w:rFonts w:ascii="Times New Roman" w:hAnsi="Times New Roman"/>
          <w:sz w:val="24"/>
          <w:szCs w:val="24"/>
        </w:rPr>
        <w:t>constatando-se</w:t>
      </w:r>
      <w:proofErr w:type="gramEnd"/>
      <w:r w:rsidR="000031B8">
        <w:rPr>
          <w:rFonts w:ascii="Times New Roman" w:hAnsi="Times New Roman"/>
          <w:sz w:val="24"/>
          <w:szCs w:val="24"/>
        </w:rPr>
        <w:t xml:space="preserve"> </w:t>
      </w:r>
      <w:r w:rsidR="000031B8" w:rsidRPr="00B254FB">
        <w:rPr>
          <w:rFonts w:ascii="Times New Roman" w:hAnsi="Times New Roman"/>
          <w:sz w:val="24"/>
          <w:szCs w:val="24"/>
        </w:rPr>
        <w:t>a existência do conflito de agência.</w:t>
      </w:r>
    </w:p>
    <w:p w:rsidR="004255DB" w:rsidRPr="00623FE2" w:rsidRDefault="004255DB" w:rsidP="00CE21EB">
      <w:pPr>
        <w:jc w:val="both"/>
        <w:rPr>
          <w:rFonts w:ascii="Times New Roman" w:hAnsi="Times New Roman"/>
          <w:sz w:val="24"/>
          <w:szCs w:val="24"/>
        </w:rPr>
      </w:pPr>
    </w:p>
    <w:p w:rsidR="000274E7" w:rsidRDefault="000274E7" w:rsidP="000031B8">
      <w:pPr>
        <w:rPr>
          <w:rFonts w:ascii="Times New Roman" w:hAnsi="Times New Roman"/>
          <w:b/>
          <w:sz w:val="24"/>
          <w:szCs w:val="24"/>
        </w:rPr>
      </w:pPr>
      <w:r>
        <w:rPr>
          <w:rFonts w:ascii="Times New Roman" w:hAnsi="Times New Roman"/>
          <w:b/>
          <w:sz w:val="24"/>
          <w:szCs w:val="24"/>
        </w:rPr>
        <w:t>Palavras-Chave:</w:t>
      </w:r>
      <w:r w:rsidR="00DB17E7">
        <w:rPr>
          <w:rFonts w:ascii="Times New Roman" w:hAnsi="Times New Roman"/>
          <w:b/>
          <w:sz w:val="24"/>
          <w:szCs w:val="24"/>
        </w:rPr>
        <w:t xml:space="preserve"> </w:t>
      </w:r>
      <w:r w:rsidR="00DB17E7" w:rsidRPr="00DB17E7">
        <w:rPr>
          <w:rFonts w:ascii="Times New Roman" w:hAnsi="Times New Roman"/>
          <w:sz w:val="24"/>
          <w:szCs w:val="24"/>
        </w:rPr>
        <w:t>Política Cont</w:t>
      </w:r>
      <w:r w:rsidR="00FC066A">
        <w:rPr>
          <w:rFonts w:ascii="Times New Roman" w:hAnsi="Times New Roman"/>
          <w:sz w:val="24"/>
          <w:szCs w:val="24"/>
        </w:rPr>
        <w:t xml:space="preserve">ábil; Valor Justo; </w:t>
      </w:r>
      <w:r w:rsidR="00DB17E7" w:rsidRPr="00DB17E7">
        <w:rPr>
          <w:rFonts w:ascii="Times New Roman" w:hAnsi="Times New Roman"/>
          <w:sz w:val="24"/>
          <w:szCs w:val="24"/>
        </w:rPr>
        <w:t>Propriedade</w:t>
      </w:r>
      <w:r w:rsidR="00DB17E7">
        <w:rPr>
          <w:rFonts w:ascii="Times New Roman" w:hAnsi="Times New Roman"/>
          <w:sz w:val="24"/>
          <w:szCs w:val="24"/>
        </w:rPr>
        <w:t>s</w:t>
      </w:r>
      <w:r w:rsidR="00DB17E7" w:rsidRPr="00DB17E7">
        <w:rPr>
          <w:rFonts w:ascii="Times New Roman" w:hAnsi="Times New Roman"/>
          <w:sz w:val="24"/>
          <w:szCs w:val="24"/>
        </w:rPr>
        <w:t xml:space="preserve"> para Investimento.</w:t>
      </w:r>
    </w:p>
    <w:p w:rsidR="001B3467" w:rsidRDefault="001B3467" w:rsidP="001B3467">
      <w:pPr>
        <w:rPr>
          <w:rFonts w:ascii="Times New Roman" w:hAnsi="Times New Roman"/>
          <w:b/>
          <w:sz w:val="24"/>
          <w:szCs w:val="24"/>
        </w:rPr>
      </w:pPr>
    </w:p>
    <w:p w:rsidR="00EB7484" w:rsidRDefault="00EB7484" w:rsidP="001B3467">
      <w:pPr>
        <w:rPr>
          <w:rFonts w:ascii="Times New Roman" w:hAnsi="Times New Roman"/>
          <w:b/>
          <w:sz w:val="24"/>
          <w:szCs w:val="24"/>
        </w:rPr>
      </w:pPr>
    </w:p>
    <w:p w:rsidR="00212EDF" w:rsidRPr="001F6D98" w:rsidRDefault="00212EDF" w:rsidP="00212EDF">
      <w:pPr>
        <w:jc w:val="both"/>
        <w:rPr>
          <w:rFonts w:ascii="Times New Roman" w:hAnsi="Times New Roman"/>
          <w:b/>
          <w:sz w:val="24"/>
          <w:szCs w:val="24"/>
          <w:lang w:val="en-US"/>
        </w:rPr>
      </w:pPr>
      <w:r w:rsidRPr="001F6D98">
        <w:rPr>
          <w:rFonts w:ascii="Times New Roman" w:hAnsi="Times New Roman"/>
          <w:b/>
          <w:sz w:val="24"/>
          <w:szCs w:val="24"/>
          <w:lang w:val="en-US"/>
        </w:rPr>
        <w:t>Abstract</w:t>
      </w:r>
    </w:p>
    <w:p w:rsidR="00212EDF" w:rsidRPr="00E316BE" w:rsidRDefault="00212EDF" w:rsidP="00212EDF">
      <w:pPr>
        <w:jc w:val="both"/>
        <w:rPr>
          <w:rFonts w:ascii="Times New Roman" w:hAnsi="Times New Roman"/>
          <w:bCs/>
          <w:sz w:val="24"/>
          <w:szCs w:val="24"/>
          <w:lang w:val="en-US"/>
        </w:rPr>
      </w:pPr>
      <w:r w:rsidRPr="00212EDF">
        <w:rPr>
          <w:rFonts w:ascii="Times New Roman" w:hAnsi="Times New Roman"/>
          <w:bCs/>
          <w:sz w:val="24"/>
          <w:szCs w:val="24"/>
        </w:rPr>
        <w:t xml:space="preserve">The </w:t>
      </w:r>
      <w:proofErr w:type="spellStart"/>
      <w:r w:rsidRPr="00212EDF">
        <w:rPr>
          <w:rFonts w:ascii="Times New Roman" w:hAnsi="Times New Roman"/>
          <w:bCs/>
          <w:sz w:val="24"/>
          <w:szCs w:val="24"/>
        </w:rPr>
        <w:t>objective</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of</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this</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study</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is</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to</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identify</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the</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determinants</w:t>
      </w:r>
      <w:proofErr w:type="spellEnd"/>
      <w:r w:rsidRPr="00212EDF">
        <w:rPr>
          <w:rFonts w:ascii="Times New Roman" w:hAnsi="Times New Roman"/>
          <w:bCs/>
          <w:sz w:val="24"/>
          <w:szCs w:val="24"/>
        </w:rPr>
        <w:t xml:space="preserve"> for </w:t>
      </w:r>
      <w:proofErr w:type="spellStart"/>
      <w:r w:rsidRPr="00212EDF">
        <w:rPr>
          <w:rFonts w:ascii="Times New Roman" w:hAnsi="Times New Roman"/>
          <w:bCs/>
          <w:sz w:val="24"/>
          <w:szCs w:val="24"/>
        </w:rPr>
        <w:t>the</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adoption</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of</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the</w:t>
      </w:r>
      <w:proofErr w:type="spellEnd"/>
      <w:r w:rsidRPr="00212EDF">
        <w:rPr>
          <w:rFonts w:ascii="Times New Roman" w:hAnsi="Times New Roman"/>
          <w:bCs/>
          <w:sz w:val="24"/>
          <w:szCs w:val="24"/>
        </w:rPr>
        <w:t xml:space="preserve"> Fair </w:t>
      </w:r>
      <w:proofErr w:type="spellStart"/>
      <w:r w:rsidRPr="00212EDF">
        <w:rPr>
          <w:rFonts w:ascii="Times New Roman" w:hAnsi="Times New Roman"/>
          <w:bCs/>
          <w:sz w:val="24"/>
          <w:szCs w:val="24"/>
        </w:rPr>
        <w:t>Value</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Accounting</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Policy</w:t>
      </w:r>
      <w:proofErr w:type="spellEnd"/>
      <w:r w:rsidRPr="00212EDF">
        <w:rPr>
          <w:rFonts w:ascii="Times New Roman" w:hAnsi="Times New Roman"/>
          <w:bCs/>
          <w:sz w:val="24"/>
          <w:szCs w:val="24"/>
        </w:rPr>
        <w:t xml:space="preserve"> (PCVJ) in </w:t>
      </w:r>
      <w:proofErr w:type="spellStart"/>
      <w:r w:rsidRPr="00212EDF">
        <w:rPr>
          <w:rFonts w:ascii="Times New Roman" w:hAnsi="Times New Roman"/>
          <w:bCs/>
          <w:sz w:val="24"/>
          <w:szCs w:val="24"/>
        </w:rPr>
        <w:t>the</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measurement</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of</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Investment</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Property</w:t>
      </w:r>
      <w:proofErr w:type="spellEnd"/>
      <w:r w:rsidRPr="00212EDF">
        <w:rPr>
          <w:rFonts w:ascii="Times New Roman" w:hAnsi="Times New Roman"/>
          <w:bCs/>
          <w:sz w:val="24"/>
          <w:szCs w:val="24"/>
        </w:rPr>
        <w:t xml:space="preserve"> (PPI) </w:t>
      </w:r>
      <w:proofErr w:type="spellStart"/>
      <w:r w:rsidRPr="00212EDF">
        <w:rPr>
          <w:rFonts w:ascii="Times New Roman" w:hAnsi="Times New Roman"/>
          <w:bCs/>
          <w:sz w:val="24"/>
          <w:szCs w:val="24"/>
        </w:rPr>
        <w:t>by</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the</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Companies</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of</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the</w:t>
      </w:r>
      <w:proofErr w:type="spellEnd"/>
      <w:r w:rsidRPr="00212EDF">
        <w:rPr>
          <w:rFonts w:ascii="Times New Roman" w:hAnsi="Times New Roman"/>
          <w:bCs/>
          <w:sz w:val="24"/>
          <w:szCs w:val="24"/>
        </w:rPr>
        <w:t xml:space="preserve"> Real </w:t>
      </w:r>
      <w:proofErr w:type="spellStart"/>
      <w:r w:rsidRPr="00212EDF">
        <w:rPr>
          <w:rFonts w:ascii="Times New Roman" w:hAnsi="Times New Roman"/>
          <w:bCs/>
          <w:sz w:val="24"/>
          <w:szCs w:val="24"/>
        </w:rPr>
        <w:t>Estate</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Exploration</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Segment</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listed</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on</w:t>
      </w:r>
      <w:proofErr w:type="spellEnd"/>
      <w:r w:rsidRPr="00212EDF">
        <w:rPr>
          <w:rFonts w:ascii="Times New Roman" w:hAnsi="Times New Roman"/>
          <w:bCs/>
          <w:sz w:val="24"/>
          <w:szCs w:val="24"/>
        </w:rPr>
        <w:t xml:space="preserve"> BM &amp; FBOVESPA. For </w:t>
      </w:r>
      <w:proofErr w:type="spellStart"/>
      <w:r w:rsidRPr="00212EDF">
        <w:rPr>
          <w:rFonts w:ascii="Times New Roman" w:hAnsi="Times New Roman"/>
          <w:bCs/>
          <w:sz w:val="24"/>
          <w:szCs w:val="24"/>
        </w:rPr>
        <w:t>that</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the</w:t>
      </w:r>
      <w:proofErr w:type="spellEnd"/>
      <w:r w:rsidRPr="00212EDF">
        <w:rPr>
          <w:rFonts w:ascii="Times New Roman" w:hAnsi="Times New Roman"/>
          <w:bCs/>
          <w:sz w:val="24"/>
          <w:szCs w:val="24"/>
        </w:rPr>
        <w:t xml:space="preserve"> data </w:t>
      </w:r>
      <w:proofErr w:type="spellStart"/>
      <w:r w:rsidRPr="00212EDF">
        <w:rPr>
          <w:rFonts w:ascii="Times New Roman" w:hAnsi="Times New Roman"/>
          <w:bCs/>
          <w:sz w:val="24"/>
          <w:szCs w:val="24"/>
        </w:rPr>
        <w:t>included</w:t>
      </w:r>
      <w:proofErr w:type="spellEnd"/>
      <w:r w:rsidRPr="00212EDF">
        <w:rPr>
          <w:rFonts w:ascii="Times New Roman" w:hAnsi="Times New Roman"/>
          <w:bCs/>
          <w:sz w:val="24"/>
          <w:szCs w:val="24"/>
        </w:rPr>
        <w:t xml:space="preserve"> 10 </w:t>
      </w:r>
      <w:proofErr w:type="spellStart"/>
      <w:r w:rsidRPr="00212EDF">
        <w:rPr>
          <w:rFonts w:ascii="Times New Roman" w:hAnsi="Times New Roman"/>
          <w:bCs/>
          <w:sz w:val="24"/>
          <w:szCs w:val="24"/>
        </w:rPr>
        <w:t>companies</w:t>
      </w:r>
      <w:proofErr w:type="spellEnd"/>
      <w:r w:rsidRPr="00212EDF">
        <w:rPr>
          <w:rFonts w:ascii="Times New Roman" w:hAnsi="Times New Roman"/>
          <w:bCs/>
          <w:sz w:val="24"/>
          <w:szCs w:val="24"/>
        </w:rPr>
        <w:t xml:space="preserve"> in </w:t>
      </w:r>
      <w:proofErr w:type="spellStart"/>
      <w:r w:rsidRPr="00212EDF">
        <w:rPr>
          <w:rFonts w:ascii="Times New Roman" w:hAnsi="Times New Roman"/>
          <w:bCs/>
          <w:sz w:val="24"/>
          <w:szCs w:val="24"/>
        </w:rPr>
        <w:t>the</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period</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from</w:t>
      </w:r>
      <w:proofErr w:type="spellEnd"/>
      <w:r w:rsidRPr="00212EDF">
        <w:rPr>
          <w:rFonts w:ascii="Times New Roman" w:hAnsi="Times New Roman"/>
          <w:bCs/>
          <w:sz w:val="24"/>
          <w:szCs w:val="24"/>
        </w:rPr>
        <w:t xml:space="preserve"> 2010 </w:t>
      </w:r>
      <w:proofErr w:type="spellStart"/>
      <w:r w:rsidRPr="00212EDF">
        <w:rPr>
          <w:rFonts w:ascii="Times New Roman" w:hAnsi="Times New Roman"/>
          <w:bCs/>
          <w:sz w:val="24"/>
          <w:szCs w:val="24"/>
        </w:rPr>
        <w:t>to</w:t>
      </w:r>
      <w:proofErr w:type="spellEnd"/>
      <w:r w:rsidRPr="00212EDF">
        <w:rPr>
          <w:rFonts w:ascii="Times New Roman" w:hAnsi="Times New Roman"/>
          <w:bCs/>
          <w:sz w:val="24"/>
          <w:szCs w:val="24"/>
        </w:rPr>
        <w:t xml:space="preserve"> 2015, </w:t>
      </w:r>
      <w:proofErr w:type="spellStart"/>
      <w:r w:rsidRPr="00212EDF">
        <w:rPr>
          <w:rFonts w:ascii="Times New Roman" w:hAnsi="Times New Roman"/>
          <w:bCs/>
          <w:sz w:val="24"/>
          <w:szCs w:val="24"/>
        </w:rPr>
        <w:t>considering</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size</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indices</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profitability</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and</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indebtedness</w:t>
      </w:r>
      <w:proofErr w:type="spellEnd"/>
      <w:r w:rsidRPr="00212EDF">
        <w:rPr>
          <w:rFonts w:ascii="Times New Roman" w:hAnsi="Times New Roman"/>
          <w:bCs/>
          <w:sz w:val="24"/>
          <w:szCs w:val="24"/>
        </w:rPr>
        <w:t xml:space="preserve">), net </w:t>
      </w:r>
      <w:proofErr w:type="spellStart"/>
      <w:r w:rsidRPr="00212EDF">
        <w:rPr>
          <w:rFonts w:ascii="Times New Roman" w:hAnsi="Times New Roman"/>
          <w:bCs/>
          <w:sz w:val="24"/>
          <w:szCs w:val="24"/>
        </w:rPr>
        <w:t>profit</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and</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payment</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of</w:t>
      </w:r>
      <w:proofErr w:type="spellEnd"/>
      <w:r w:rsidRPr="00212EDF">
        <w:rPr>
          <w:rFonts w:ascii="Times New Roman" w:hAnsi="Times New Roman"/>
          <w:bCs/>
          <w:sz w:val="24"/>
          <w:szCs w:val="24"/>
        </w:rPr>
        <w:t xml:space="preserve"> </w:t>
      </w:r>
      <w:proofErr w:type="spellStart"/>
      <w:r w:rsidRPr="00212EDF">
        <w:rPr>
          <w:rFonts w:ascii="Times New Roman" w:hAnsi="Times New Roman"/>
          <w:bCs/>
          <w:sz w:val="24"/>
          <w:szCs w:val="24"/>
        </w:rPr>
        <w:t>dividends</w:t>
      </w:r>
      <w:proofErr w:type="spellEnd"/>
      <w:r w:rsidRPr="00212EDF">
        <w:rPr>
          <w:rFonts w:ascii="Times New Roman" w:hAnsi="Times New Roman"/>
          <w:bCs/>
          <w:sz w:val="24"/>
          <w:szCs w:val="24"/>
        </w:rPr>
        <w:t xml:space="preserve">. </w:t>
      </w:r>
      <w:r w:rsidR="00E316BE" w:rsidRPr="00E316BE">
        <w:rPr>
          <w:rFonts w:ascii="Times New Roman" w:hAnsi="Times New Roman"/>
          <w:bCs/>
          <w:sz w:val="24"/>
          <w:szCs w:val="24"/>
          <w:lang w:val="en-US"/>
        </w:rPr>
        <w:t xml:space="preserve">The Logistic Regression was applied to identify the variables that </w:t>
      </w:r>
      <w:proofErr w:type="gramStart"/>
      <w:r w:rsidR="00E316BE" w:rsidRPr="00E316BE">
        <w:rPr>
          <w:rFonts w:ascii="Times New Roman" w:hAnsi="Times New Roman"/>
          <w:bCs/>
          <w:sz w:val="24"/>
          <w:szCs w:val="24"/>
          <w:lang w:val="en-US"/>
        </w:rPr>
        <w:t>impact on</w:t>
      </w:r>
      <w:proofErr w:type="gramEnd"/>
      <w:r w:rsidR="00E316BE" w:rsidRPr="00E316BE">
        <w:rPr>
          <w:rFonts w:ascii="Times New Roman" w:hAnsi="Times New Roman"/>
          <w:bCs/>
          <w:sz w:val="24"/>
          <w:szCs w:val="24"/>
          <w:lang w:val="en-US"/>
        </w:rPr>
        <w:t xml:space="preserve"> the probability of choosing the Fair Value Method (MVJ) and the Mann-Whitney test to evaluate if there is a difference in the dividend distribution policy and interest on equity (JCP) between companies that adopt fair value and those that opt for the cost method (MC). The results suggest that the lower the indebtedness and return on Equity and the higher Total Asset, the greater the likelihood of the MVJ's choice. As for DD and JCP, the companies that adopt the fair value measurement distributed an average percentage higher than the companies that adopted the MC, not being verified the existence of the agency conflict.</w:t>
      </w:r>
    </w:p>
    <w:p w:rsidR="00212EDF" w:rsidRPr="00212EDF" w:rsidRDefault="00212EDF" w:rsidP="001B3467">
      <w:pPr>
        <w:rPr>
          <w:rFonts w:ascii="Times New Roman" w:hAnsi="Times New Roman"/>
          <w:b/>
          <w:sz w:val="24"/>
          <w:szCs w:val="24"/>
          <w:lang w:val="en-US"/>
        </w:rPr>
      </w:pPr>
    </w:p>
    <w:p w:rsidR="00212EDF" w:rsidRPr="00212EDF" w:rsidRDefault="00FC066A" w:rsidP="001B3467">
      <w:pPr>
        <w:rPr>
          <w:rFonts w:ascii="Times New Roman" w:hAnsi="Times New Roman"/>
          <w:b/>
          <w:sz w:val="24"/>
          <w:szCs w:val="24"/>
          <w:lang w:val="en-US"/>
        </w:rPr>
      </w:pPr>
      <w:r w:rsidRPr="008068F3">
        <w:rPr>
          <w:rFonts w:ascii="Times New Roman" w:hAnsi="Times New Roman"/>
          <w:b/>
          <w:sz w:val="24"/>
          <w:szCs w:val="24"/>
          <w:lang w:val="en-US"/>
        </w:rPr>
        <w:t>Keywords</w:t>
      </w:r>
      <w:r>
        <w:rPr>
          <w:rFonts w:ascii="Times New Roman" w:hAnsi="Times New Roman"/>
          <w:sz w:val="24"/>
          <w:szCs w:val="24"/>
          <w:lang w:val="en-US"/>
        </w:rPr>
        <w:t>: Accounting Policy; Fair value;</w:t>
      </w:r>
      <w:r w:rsidRPr="00FC066A">
        <w:rPr>
          <w:rFonts w:ascii="Times New Roman" w:hAnsi="Times New Roman"/>
          <w:sz w:val="24"/>
          <w:szCs w:val="24"/>
          <w:lang w:val="en-US"/>
        </w:rPr>
        <w:t xml:space="preserve"> Properties for Investment.</w:t>
      </w:r>
    </w:p>
    <w:p w:rsidR="00C95200" w:rsidRPr="00FC066A" w:rsidRDefault="001B3467" w:rsidP="00D31D56">
      <w:pPr>
        <w:numPr>
          <w:ilvl w:val="0"/>
          <w:numId w:val="3"/>
        </w:numPr>
        <w:ind w:left="284" w:hanging="284"/>
        <w:rPr>
          <w:rFonts w:ascii="Times New Roman" w:hAnsi="Times New Roman"/>
          <w:b/>
          <w:caps/>
          <w:spacing w:val="-8"/>
          <w:sz w:val="24"/>
          <w:szCs w:val="24"/>
        </w:rPr>
      </w:pPr>
      <w:r w:rsidRPr="00212EDF">
        <w:rPr>
          <w:rFonts w:ascii="Times New Roman" w:hAnsi="Times New Roman"/>
          <w:b/>
          <w:sz w:val="24"/>
          <w:szCs w:val="24"/>
          <w:lang w:val="en-US"/>
        </w:rPr>
        <w:br w:type="page"/>
      </w:r>
      <w:r w:rsidR="00D31D56" w:rsidRPr="00FC066A">
        <w:rPr>
          <w:rFonts w:ascii="Times New Roman" w:hAnsi="Times New Roman"/>
          <w:b/>
          <w:caps/>
          <w:spacing w:val="-8"/>
          <w:sz w:val="24"/>
          <w:szCs w:val="24"/>
        </w:rPr>
        <w:lastRenderedPageBreak/>
        <w:t>Introdução</w:t>
      </w:r>
    </w:p>
    <w:p w:rsidR="00DB1BEF" w:rsidRPr="00165D3A" w:rsidRDefault="00DB1BEF" w:rsidP="00C91A25">
      <w:pPr>
        <w:pStyle w:val="PargrafodaLista"/>
        <w:tabs>
          <w:tab w:val="left" w:pos="284"/>
        </w:tabs>
        <w:spacing w:after="0" w:line="240" w:lineRule="auto"/>
        <w:ind w:left="0"/>
        <w:jc w:val="both"/>
        <w:rPr>
          <w:rFonts w:ascii="Times New Roman" w:hAnsi="Times New Roman"/>
          <w:b/>
          <w:spacing w:val="-8"/>
          <w:sz w:val="24"/>
          <w:szCs w:val="24"/>
        </w:rPr>
      </w:pPr>
    </w:p>
    <w:p w:rsidR="00C95200" w:rsidRPr="00343BAE" w:rsidRDefault="00C95200" w:rsidP="00167448">
      <w:pPr>
        <w:ind w:firstLine="709"/>
        <w:jc w:val="both"/>
        <w:rPr>
          <w:rFonts w:ascii="Times New Roman" w:hAnsi="Times New Roman"/>
          <w:spacing w:val="-8"/>
          <w:sz w:val="24"/>
          <w:szCs w:val="24"/>
        </w:rPr>
      </w:pPr>
      <w:r w:rsidRPr="00DC0672">
        <w:rPr>
          <w:rFonts w:ascii="Times New Roman" w:hAnsi="Times New Roman"/>
          <w:spacing w:val="-8"/>
          <w:sz w:val="24"/>
          <w:szCs w:val="24"/>
        </w:rPr>
        <w:t>A Lei nº 11</w:t>
      </w:r>
      <w:r w:rsidRPr="00275F5B">
        <w:rPr>
          <w:rFonts w:ascii="Times New Roman" w:hAnsi="Times New Roman"/>
          <w:spacing w:val="-8"/>
          <w:sz w:val="24"/>
          <w:szCs w:val="24"/>
        </w:rPr>
        <w:t>.638 de 28 de dezembro de 2007, com vigência a partir de 1° de janeiro de 2008, alterou a Lei 6.404/76 – Lei das Sociedades por Ações, estabeleceu que as demonstrações financeiras das companhias abertas deveriam observ</w:t>
      </w:r>
      <w:r w:rsidRPr="00343BAE">
        <w:rPr>
          <w:rFonts w:ascii="Times New Roman" w:hAnsi="Times New Roman"/>
          <w:spacing w:val="-8"/>
          <w:sz w:val="24"/>
          <w:szCs w:val="24"/>
        </w:rPr>
        <w:t>ar as normas expedidas pela Comissão de Valores Mobiliários - CVM, em consonância com os Padrões Internacionais de contabilidade adotados nos principais mercados de valores mobiliários.</w:t>
      </w:r>
    </w:p>
    <w:p w:rsidR="00C95200" w:rsidRPr="00F345DA" w:rsidRDefault="00C95200" w:rsidP="00167448">
      <w:pPr>
        <w:ind w:firstLine="709"/>
        <w:jc w:val="both"/>
        <w:rPr>
          <w:rFonts w:ascii="Times New Roman" w:hAnsi="Times New Roman"/>
          <w:spacing w:val="-8"/>
          <w:sz w:val="24"/>
          <w:szCs w:val="24"/>
        </w:rPr>
      </w:pPr>
      <w:r w:rsidRPr="00165D3A">
        <w:rPr>
          <w:rFonts w:ascii="Times New Roman" w:hAnsi="Times New Roman"/>
          <w:spacing w:val="-8"/>
          <w:sz w:val="24"/>
          <w:szCs w:val="24"/>
        </w:rPr>
        <w:t xml:space="preserve">Com o objetivo de unificação do processo de elaboração de normas brasileiras e que essas estivessem em consonância com os padrões internacionais, conforme preconizado pela Lei 11.638, foi criado o Comitê de Pronunciamentos Contábeis (CPC) em 7 de outubro de 2005 pela Resolução do Conselho Federal de Contabilidade nº 1.055/05. Desde sua criação o CPC emite pronunciamentos, interpretações e orientações que em sua maioria são correlatas das </w:t>
      </w:r>
      <w:r w:rsidRPr="00DC0672">
        <w:rPr>
          <w:rFonts w:ascii="Times New Roman" w:hAnsi="Times New Roman"/>
          <w:spacing w:val="-8"/>
          <w:sz w:val="24"/>
          <w:szCs w:val="24"/>
        </w:rPr>
        <w:t xml:space="preserve">normas internacionais de contabilidade (IFRS – </w:t>
      </w:r>
      <w:proofErr w:type="spellStart"/>
      <w:r w:rsidRPr="00391F5F">
        <w:rPr>
          <w:rFonts w:ascii="Times New Roman" w:hAnsi="Times New Roman"/>
          <w:i/>
          <w:spacing w:val="-8"/>
          <w:sz w:val="24"/>
          <w:szCs w:val="24"/>
        </w:rPr>
        <w:t>International</w:t>
      </w:r>
      <w:proofErr w:type="spellEnd"/>
      <w:r w:rsidRPr="00391F5F">
        <w:rPr>
          <w:rFonts w:ascii="Times New Roman" w:hAnsi="Times New Roman"/>
          <w:i/>
          <w:spacing w:val="-8"/>
          <w:sz w:val="24"/>
          <w:szCs w:val="24"/>
        </w:rPr>
        <w:t xml:space="preserve"> Financial </w:t>
      </w:r>
      <w:proofErr w:type="spellStart"/>
      <w:r w:rsidRPr="00391F5F">
        <w:rPr>
          <w:rFonts w:ascii="Times New Roman" w:hAnsi="Times New Roman"/>
          <w:i/>
          <w:spacing w:val="-8"/>
          <w:sz w:val="24"/>
          <w:szCs w:val="24"/>
        </w:rPr>
        <w:t>Reporting</w:t>
      </w:r>
      <w:proofErr w:type="spellEnd"/>
      <w:r w:rsidRPr="00391F5F">
        <w:rPr>
          <w:rFonts w:ascii="Times New Roman" w:hAnsi="Times New Roman"/>
          <w:i/>
          <w:spacing w:val="-8"/>
          <w:sz w:val="24"/>
          <w:szCs w:val="24"/>
        </w:rPr>
        <w:t xml:space="preserve"> Standards</w:t>
      </w:r>
      <w:r w:rsidRPr="00167448">
        <w:rPr>
          <w:rFonts w:ascii="Times New Roman" w:hAnsi="Times New Roman"/>
          <w:spacing w:val="-8"/>
          <w:sz w:val="24"/>
          <w:szCs w:val="24"/>
        </w:rPr>
        <w:t>)</w:t>
      </w:r>
      <w:r w:rsidRPr="00DC0672">
        <w:rPr>
          <w:rFonts w:ascii="Times New Roman" w:hAnsi="Times New Roman"/>
          <w:spacing w:val="-8"/>
          <w:sz w:val="24"/>
          <w:szCs w:val="24"/>
        </w:rPr>
        <w:t xml:space="preserve"> emitidas pelo IASB – </w:t>
      </w:r>
      <w:proofErr w:type="spellStart"/>
      <w:r w:rsidRPr="00391F5F">
        <w:rPr>
          <w:rFonts w:ascii="Times New Roman" w:hAnsi="Times New Roman"/>
          <w:i/>
          <w:spacing w:val="-8"/>
          <w:sz w:val="24"/>
          <w:szCs w:val="24"/>
        </w:rPr>
        <w:t>International</w:t>
      </w:r>
      <w:proofErr w:type="spellEnd"/>
      <w:r w:rsidRPr="00391F5F">
        <w:rPr>
          <w:rFonts w:ascii="Times New Roman" w:hAnsi="Times New Roman"/>
          <w:i/>
          <w:spacing w:val="-8"/>
          <w:sz w:val="24"/>
          <w:szCs w:val="24"/>
        </w:rPr>
        <w:t xml:space="preserve"> </w:t>
      </w:r>
      <w:proofErr w:type="spellStart"/>
      <w:r w:rsidRPr="00391F5F">
        <w:rPr>
          <w:rFonts w:ascii="Times New Roman" w:hAnsi="Times New Roman"/>
          <w:i/>
          <w:spacing w:val="-8"/>
          <w:sz w:val="24"/>
          <w:szCs w:val="24"/>
        </w:rPr>
        <w:t>Accounting</w:t>
      </w:r>
      <w:proofErr w:type="spellEnd"/>
      <w:r w:rsidRPr="00391F5F">
        <w:rPr>
          <w:rFonts w:ascii="Times New Roman" w:hAnsi="Times New Roman"/>
          <w:i/>
          <w:spacing w:val="-8"/>
          <w:sz w:val="24"/>
          <w:szCs w:val="24"/>
        </w:rPr>
        <w:t xml:space="preserve"> Standards </w:t>
      </w:r>
      <w:proofErr w:type="spellStart"/>
      <w:r w:rsidRPr="00391F5F">
        <w:rPr>
          <w:rFonts w:ascii="Times New Roman" w:hAnsi="Times New Roman"/>
          <w:i/>
          <w:spacing w:val="-8"/>
          <w:sz w:val="24"/>
          <w:szCs w:val="24"/>
        </w:rPr>
        <w:t>Board</w:t>
      </w:r>
      <w:proofErr w:type="spellEnd"/>
      <w:r w:rsidRPr="00F345DA">
        <w:rPr>
          <w:rFonts w:ascii="Times New Roman" w:hAnsi="Times New Roman"/>
          <w:spacing w:val="-8"/>
          <w:sz w:val="24"/>
          <w:szCs w:val="24"/>
        </w:rPr>
        <w:t>.</w:t>
      </w:r>
    </w:p>
    <w:p w:rsidR="00167448" w:rsidRDefault="00C95200" w:rsidP="00167448">
      <w:pPr>
        <w:ind w:firstLine="709"/>
        <w:jc w:val="both"/>
        <w:rPr>
          <w:rFonts w:ascii="Times New Roman" w:hAnsi="Times New Roman"/>
          <w:spacing w:val="-8"/>
          <w:sz w:val="24"/>
          <w:szCs w:val="24"/>
        </w:rPr>
      </w:pPr>
      <w:r w:rsidRPr="00A57572">
        <w:rPr>
          <w:rFonts w:ascii="Times New Roman" w:hAnsi="Times New Roman"/>
          <w:spacing w:val="-8"/>
          <w:sz w:val="24"/>
          <w:szCs w:val="24"/>
        </w:rPr>
        <w:t xml:space="preserve">O CPC aprovou </w:t>
      </w:r>
      <w:r w:rsidRPr="00275F5B">
        <w:rPr>
          <w:rFonts w:ascii="Times New Roman" w:hAnsi="Times New Roman"/>
          <w:spacing w:val="-8"/>
          <w:sz w:val="24"/>
          <w:szCs w:val="24"/>
        </w:rPr>
        <w:t xml:space="preserve">em 26 de junho de 2009 o Pronunciamento Técnico CPC 28 – Propriedade para Investimento, correlato da norma internacional IAS 40 - </w:t>
      </w:r>
      <w:proofErr w:type="spellStart"/>
      <w:r w:rsidRPr="00391F5F">
        <w:rPr>
          <w:rFonts w:ascii="Times New Roman" w:hAnsi="Times New Roman"/>
          <w:i/>
          <w:spacing w:val="-8"/>
          <w:sz w:val="24"/>
          <w:szCs w:val="24"/>
        </w:rPr>
        <w:t>Investment</w:t>
      </w:r>
      <w:proofErr w:type="spellEnd"/>
      <w:r w:rsidRPr="00391F5F">
        <w:rPr>
          <w:rFonts w:ascii="Times New Roman" w:hAnsi="Times New Roman"/>
          <w:i/>
          <w:spacing w:val="-8"/>
          <w:sz w:val="24"/>
          <w:szCs w:val="24"/>
        </w:rPr>
        <w:t xml:space="preserve"> </w:t>
      </w:r>
      <w:proofErr w:type="spellStart"/>
      <w:r w:rsidRPr="00391F5F">
        <w:rPr>
          <w:rFonts w:ascii="Times New Roman" w:hAnsi="Times New Roman"/>
          <w:i/>
          <w:spacing w:val="-8"/>
          <w:sz w:val="24"/>
          <w:szCs w:val="24"/>
        </w:rPr>
        <w:t>Property</w:t>
      </w:r>
      <w:proofErr w:type="spellEnd"/>
      <w:r w:rsidRPr="00343BAE">
        <w:rPr>
          <w:rFonts w:ascii="Times New Roman" w:hAnsi="Times New Roman"/>
          <w:spacing w:val="-8"/>
          <w:sz w:val="24"/>
          <w:szCs w:val="24"/>
        </w:rPr>
        <w:t>, que estabelece o tratamento contábil e os respectivos requisitos de divul</w:t>
      </w:r>
      <w:r w:rsidRPr="00DC0672">
        <w:rPr>
          <w:rFonts w:ascii="Times New Roman" w:hAnsi="Times New Roman"/>
          <w:spacing w:val="-8"/>
          <w:sz w:val="24"/>
          <w:szCs w:val="24"/>
        </w:rPr>
        <w:t>gação das propriedades para investimento. O pronunciamento técnico definiu a Propriedade para Investimento como ativ</w:t>
      </w:r>
      <w:r w:rsidRPr="00F345DA">
        <w:rPr>
          <w:rFonts w:ascii="Times New Roman" w:hAnsi="Times New Roman"/>
          <w:spacing w:val="-8"/>
          <w:sz w:val="24"/>
          <w:szCs w:val="24"/>
        </w:rPr>
        <w:t>os mantidos pelo proprietário ou pelo arrendatário em arrendamento financeiro, para auferir aluguel ou para valorização do capital ou para ambas, e não para o uso na produção ou fornecimento de bens ou serviços ou para finalidades administrativas; ou venda</w:t>
      </w:r>
      <w:r w:rsidRPr="00A57572">
        <w:rPr>
          <w:rFonts w:ascii="Times New Roman" w:hAnsi="Times New Roman"/>
          <w:spacing w:val="-8"/>
          <w:sz w:val="24"/>
          <w:szCs w:val="24"/>
        </w:rPr>
        <w:t xml:space="preserve"> no curso ordinário do negócio. </w:t>
      </w:r>
    </w:p>
    <w:p w:rsidR="00167448" w:rsidRDefault="00C95200" w:rsidP="00167448">
      <w:pPr>
        <w:ind w:firstLine="709"/>
        <w:jc w:val="both"/>
        <w:rPr>
          <w:rFonts w:ascii="Times New Roman" w:hAnsi="Times New Roman"/>
          <w:spacing w:val="-8"/>
          <w:sz w:val="24"/>
          <w:szCs w:val="24"/>
        </w:rPr>
      </w:pPr>
      <w:r w:rsidRPr="00A57572">
        <w:rPr>
          <w:rFonts w:ascii="Times New Roman" w:hAnsi="Times New Roman"/>
          <w:spacing w:val="-8"/>
          <w:sz w:val="24"/>
          <w:szCs w:val="24"/>
        </w:rPr>
        <w:t>De acordo com a norma, a avaliação no reconhecimento inicial deverá ser pelo custo, acrescidos dos encar</w:t>
      </w:r>
      <w:r w:rsidRPr="00C02B2B">
        <w:rPr>
          <w:rFonts w:ascii="Times New Roman" w:hAnsi="Times New Roman"/>
          <w:spacing w:val="-8"/>
          <w:sz w:val="24"/>
          <w:szCs w:val="24"/>
        </w:rPr>
        <w:t>gos de transação. No entanto, para a mensuração após o reconhecimento permitiu-se às entidades adotarem na Política Contábil o método do valor justo ou o método do custo, devendo-se aplicá-la a todas as suas Propriedades para Investimento. Assim, questões</w:t>
      </w:r>
      <w:r w:rsidRPr="00A93188">
        <w:rPr>
          <w:rFonts w:ascii="Times New Roman" w:hAnsi="Times New Roman"/>
          <w:spacing w:val="-8"/>
          <w:sz w:val="24"/>
          <w:szCs w:val="24"/>
        </w:rPr>
        <w:t xml:space="preserve"> inerentes à opção pelo critério de mensuração das propriedades para investimento</w:t>
      </w:r>
      <w:r w:rsidRPr="00C227C4">
        <w:rPr>
          <w:rFonts w:ascii="Times New Roman" w:hAnsi="Times New Roman"/>
          <w:spacing w:val="-8"/>
          <w:sz w:val="24"/>
          <w:szCs w:val="24"/>
        </w:rPr>
        <w:t xml:space="preserve"> podem afetar diretamente os interesses dos acionistas da Companhia. </w:t>
      </w:r>
    </w:p>
    <w:p w:rsidR="00167448" w:rsidRDefault="00C95200" w:rsidP="00167448">
      <w:pPr>
        <w:ind w:firstLine="709"/>
        <w:jc w:val="both"/>
        <w:rPr>
          <w:rFonts w:ascii="Times New Roman" w:hAnsi="Times New Roman"/>
          <w:spacing w:val="-8"/>
          <w:sz w:val="24"/>
          <w:szCs w:val="24"/>
        </w:rPr>
      </w:pPr>
      <w:r w:rsidRPr="00C91A25">
        <w:rPr>
          <w:rFonts w:ascii="Times New Roman" w:hAnsi="Times New Roman"/>
          <w:spacing w:val="-8"/>
          <w:sz w:val="24"/>
          <w:szCs w:val="24"/>
        </w:rPr>
        <w:t xml:space="preserve">A possibilidade de escolha da política contábil por parte da empresa tem causado desconforto e insegurança no ambiente acadêmico e profissional. O jornalista do Valor Econômico afirmou em 31/3/11 que parte das riquezas das empresas ficava ‘escondida’ nas demonstrações financeiras, referindo-se à diferença entre o valor justo e o custo das propriedades para investimento das empresas que haviam adotado o método do custo (Torres, 2011). No âmbito acadêmico alguns trabalhos já foram desenvolvidos para: discutir o uso do valor justo por parte do IASB (por exemplo, Cairns, 2006); analisar a relevância da informação contábil (por exemplo, Lourenço &amp; Curto, 2008 e </w:t>
      </w:r>
      <w:proofErr w:type="spellStart"/>
      <w:r w:rsidRPr="00C91A25">
        <w:rPr>
          <w:rFonts w:ascii="Times New Roman" w:hAnsi="Times New Roman"/>
          <w:spacing w:val="-8"/>
          <w:sz w:val="24"/>
          <w:szCs w:val="24"/>
        </w:rPr>
        <w:t>So</w:t>
      </w:r>
      <w:proofErr w:type="spellEnd"/>
      <w:r w:rsidRPr="00C91A25">
        <w:rPr>
          <w:rFonts w:ascii="Times New Roman" w:hAnsi="Times New Roman"/>
          <w:spacing w:val="-8"/>
          <w:sz w:val="24"/>
          <w:szCs w:val="24"/>
        </w:rPr>
        <w:t xml:space="preserve"> &amp; Smith, 2008); buscar os fatores determinantes no momento da escolha contábil (Pereira, 2013 e </w:t>
      </w:r>
      <w:r w:rsidR="00B53D66" w:rsidRPr="00275F5B">
        <w:rPr>
          <w:rFonts w:ascii="Times New Roman" w:hAnsi="Times New Roman"/>
          <w:spacing w:val="-8"/>
          <w:sz w:val="24"/>
          <w:szCs w:val="24"/>
        </w:rPr>
        <w:t>Costa, Silva &amp; Laurence</w:t>
      </w:r>
      <w:r w:rsidR="00563156" w:rsidRPr="00275F5B">
        <w:rPr>
          <w:rFonts w:ascii="Times New Roman" w:hAnsi="Times New Roman"/>
          <w:spacing w:val="-8"/>
          <w:sz w:val="24"/>
          <w:szCs w:val="24"/>
        </w:rPr>
        <w:t>, 2013</w:t>
      </w:r>
      <w:r w:rsidRPr="00275F5B">
        <w:rPr>
          <w:rFonts w:ascii="Times New Roman" w:hAnsi="Times New Roman"/>
          <w:spacing w:val="-8"/>
          <w:sz w:val="24"/>
          <w:szCs w:val="24"/>
        </w:rPr>
        <w:t>); ou identificar os efeitos da adoção da IAS 40 ou CPC 28 (por exe</w:t>
      </w:r>
      <w:r w:rsidRPr="00343BAE">
        <w:rPr>
          <w:rFonts w:ascii="Times New Roman" w:hAnsi="Times New Roman"/>
          <w:spacing w:val="-8"/>
          <w:sz w:val="24"/>
          <w:szCs w:val="24"/>
        </w:rPr>
        <w:t xml:space="preserve">mplo, </w:t>
      </w:r>
      <w:r w:rsidR="00476359" w:rsidRPr="00343BAE">
        <w:rPr>
          <w:rFonts w:ascii="Times New Roman" w:hAnsi="Times New Roman"/>
          <w:spacing w:val="-8"/>
          <w:sz w:val="24"/>
          <w:szCs w:val="24"/>
        </w:rPr>
        <w:t>Abreu, Magro, &amp; David, 2009</w:t>
      </w:r>
      <w:r w:rsidR="003B6F38">
        <w:rPr>
          <w:rFonts w:ascii="Times New Roman" w:hAnsi="Times New Roman"/>
          <w:spacing w:val="-8"/>
          <w:sz w:val="24"/>
          <w:szCs w:val="24"/>
        </w:rPr>
        <w:t xml:space="preserve">; </w:t>
      </w:r>
      <w:proofErr w:type="spellStart"/>
      <w:r w:rsidR="0023745F" w:rsidRPr="00275F5B">
        <w:rPr>
          <w:rFonts w:ascii="Times New Roman" w:hAnsi="Times New Roman"/>
          <w:spacing w:val="-8"/>
          <w:sz w:val="24"/>
          <w:szCs w:val="24"/>
        </w:rPr>
        <w:t>Kolozsvari</w:t>
      </w:r>
      <w:proofErr w:type="spellEnd"/>
      <w:r w:rsidR="0023745F" w:rsidRPr="00275F5B">
        <w:rPr>
          <w:rFonts w:ascii="Times New Roman" w:hAnsi="Times New Roman"/>
          <w:spacing w:val="-8"/>
          <w:sz w:val="24"/>
          <w:szCs w:val="24"/>
        </w:rPr>
        <w:t>,</w:t>
      </w:r>
      <w:r w:rsidR="0023745F" w:rsidRPr="00343BAE">
        <w:rPr>
          <w:rFonts w:ascii="Times New Roman" w:hAnsi="Times New Roman"/>
          <w:spacing w:val="-8"/>
          <w:sz w:val="24"/>
          <w:szCs w:val="24"/>
        </w:rPr>
        <w:t xml:space="preserve"> Marques, </w:t>
      </w:r>
      <w:r w:rsidR="008141DC" w:rsidRPr="00343BAE">
        <w:rPr>
          <w:rFonts w:ascii="Times New Roman" w:hAnsi="Times New Roman"/>
          <w:spacing w:val="-8"/>
          <w:sz w:val="24"/>
          <w:szCs w:val="24"/>
        </w:rPr>
        <w:t xml:space="preserve">&amp; </w:t>
      </w:r>
      <w:r w:rsidR="0023745F" w:rsidRPr="00DC0672">
        <w:rPr>
          <w:rFonts w:ascii="Times New Roman" w:hAnsi="Times New Roman"/>
          <w:spacing w:val="-8"/>
          <w:sz w:val="24"/>
          <w:szCs w:val="24"/>
        </w:rPr>
        <w:t>Macedo, 2014)</w:t>
      </w:r>
      <w:r w:rsidRPr="00A57572">
        <w:rPr>
          <w:rFonts w:ascii="Times New Roman" w:hAnsi="Times New Roman"/>
          <w:spacing w:val="-8"/>
          <w:sz w:val="24"/>
          <w:szCs w:val="24"/>
        </w:rPr>
        <w:t>.</w:t>
      </w:r>
    </w:p>
    <w:p w:rsidR="00167448" w:rsidRDefault="00C95200" w:rsidP="00167448">
      <w:pPr>
        <w:ind w:firstLine="709"/>
        <w:jc w:val="both"/>
        <w:rPr>
          <w:rFonts w:ascii="Times New Roman" w:hAnsi="Times New Roman"/>
          <w:spacing w:val="-8"/>
          <w:sz w:val="24"/>
          <w:szCs w:val="24"/>
        </w:rPr>
      </w:pPr>
      <w:r w:rsidRPr="00343BAE">
        <w:rPr>
          <w:rFonts w:ascii="Times New Roman" w:hAnsi="Times New Roman"/>
          <w:spacing w:val="-8"/>
          <w:sz w:val="24"/>
          <w:szCs w:val="24"/>
        </w:rPr>
        <w:t xml:space="preserve">Neste contexto, </w:t>
      </w:r>
      <w:r w:rsidR="00B92668" w:rsidRPr="00343BAE">
        <w:rPr>
          <w:rFonts w:ascii="Times New Roman" w:hAnsi="Times New Roman"/>
          <w:spacing w:val="-8"/>
          <w:sz w:val="24"/>
          <w:szCs w:val="24"/>
        </w:rPr>
        <w:t>a</w:t>
      </w:r>
      <w:r w:rsidRPr="00DC0672">
        <w:rPr>
          <w:rFonts w:ascii="Times New Roman" w:hAnsi="Times New Roman"/>
          <w:spacing w:val="-8"/>
          <w:sz w:val="24"/>
          <w:szCs w:val="24"/>
        </w:rPr>
        <w:t xml:space="preserve"> escolha da Política Contábil para a avaliação das Propriedades para Investimento</w:t>
      </w:r>
      <w:r w:rsidRPr="00F345DA">
        <w:rPr>
          <w:rFonts w:ascii="Times New Roman" w:hAnsi="Times New Roman"/>
          <w:spacing w:val="-8"/>
          <w:sz w:val="24"/>
          <w:szCs w:val="24"/>
        </w:rPr>
        <w:t xml:space="preserve"> pode refletir diretamente no porte da empresa, em caso de valorização d</w:t>
      </w:r>
      <w:r w:rsidRPr="00A57572">
        <w:rPr>
          <w:rFonts w:ascii="Times New Roman" w:hAnsi="Times New Roman"/>
          <w:spacing w:val="-8"/>
          <w:sz w:val="24"/>
          <w:szCs w:val="24"/>
        </w:rPr>
        <w:t xml:space="preserve">os ativos e causar possíveis impactos nos seus índices de rentabilidade e endividamento, além do resultado </w:t>
      </w:r>
      <w:r w:rsidR="00A57572" w:rsidRPr="00C02B2B">
        <w:rPr>
          <w:rFonts w:ascii="Times New Roman" w:hAnsi="Times New Roman"/>
          <w:spacing w:val="-8"/>
          <w:sz w:val="24"/>
          <w:szCs w:val="24"/>
        </w:rPr>
        <w:t>e, consequentemente</w:t>
      </w:r>
      <w:r w:rsidR="00B92668" w:rsidRPr="00C02B2B">
        <w:rPr>
          <w:rFonts w:ascii="Times New Roman" w:hAnsi="Times New Roman"/>
          <w:spacing w:val="-8"/>
          <w:sz w:val="24"/>
          <w:szCs w:val="24"/>
        </w:rPr>
        <w:t>,</w:t>
      </w:r>
      <w:r w:rsidRPr="00A93188">
        <w:rPr>
          <w:rFonts w:ascii="Times New Roman" w:hAnsi="Times New Roman"/>
          <w:spacing w:val="-8"/>
          <w:sz w:val="24"/>
          <w:szCs w:val="24"/>
        </w:rPr>
        <w:t xml:space="preserve"> na distribuição de dividendos aos acionistas. </w:t>
      </w:r>
    </w:p>
    <w:p w:rsidR="00167448" w:rsidRDefault="00C95200"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 xml:space="preserve">Diante desse cenário, o artigo visa responder a seguinte questão de pesquisa: Quais são os fatores determinantes para adoção do método do valor justo para a mensuração </w:t>
      </w:r>
      <w:r w:rsidR="00263F2F" w:rsidRPr="00167448">
        <w:rPr>
          <w:rFonts w:ascii="Times New Roman" w:hAnsi="Times New Roman"/>
          <w:spacing w:val="-8"/>
          <w:sz w:val="24"/>
          <w:szCs w:val="24"/>
        </w:rPr>
        <w:t>das propriedades</w:t>
      </w:r>
      <w:r w:rsidRPr="00167448">
        <w:rPr>
          <w:rFonts w:ascii="Times New Roman" w:hAnsi="Times New Roman"/>
          <w:spacing w:val="-8"/>
          <w:sz w:val="24"/>
          <w:szCs w:val="24"/>
        </w:rPr>
        <w:t xml:space="preserve"> para investimento?</w:t>
      </w:r>
    </w:p>
    <w:p w:rsidR="00167448" w:rsidRDefault="00C95200"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Para tanto, a pesquisa tem como objetivo principal</w:t>
      </w:r>
      <w:r w:rsidR="00C91A25" w:rsidRPr="00167448">
        <w:rPr>
          <w:rFonts w:ascii="Times New Roman" w:hAnsi="Times New Roman"/>
          <w:spacing w:val="-8"/>
          <w:sz w:val="24"/>
          <w:szCs w:val="24"/>
        </w:rPr>
        <w:t xml:space="preserve"> </w:t>
      </w:r>
      <w:r w:rsidR="00BF0571" w:rsidRPr="00167448">
        <w:rPr>
          <w:rFonts w:ascii="Times New Roman" w:hAnsi="Times New Roman"/>
          <w:spacing w:val="-8"/>
          <w:sz w:val="24"/>
          <w:szCs w:val="24"/>
        </w:rPr>
        <w:t xml:space="preserve">identificar os fatores determinantes para adoção da Política Contábil do Valor Justo para a mensuração das Propriedades para Investimento pelas Empresas do Segmento de Exploração de Imóveis listadas na BM&amp;FBOVESPA. Como objetivo secundário, </w:t>
      </w:r>
      <w:r w:rsidRPr="00167448">
        <w:rPr>
          <w:rFonts w:ascii="Times New Roman" w:hAnsi="Times New Roman"/>
          <w:spacing w:val="-8"/>
          <w:sz w:val="24"/>
          <w:szCs w:val="24"/>
        </w:rPr>
        <w:t>buscar evidências da aplicação da Teoria da Agência quanto a decisão da Administração pela adoção da Política</w:t>
      </w:r>
      <w:r w:rsidRPr="00A57572">
        <w:rPr>
          <w:rFonts w:ascii="Times New Roman" w:hAnsi="Times New Roman"/>
          <w:bCs/>
          <w:spacing w:val="6"/>
          <w:sz w:val="24"/>
          <w:szCs w:val="24"/>
        </w:rPr>
        <w:t xml:space="preserve"> Contábil de mensuração das Propriedades para Investimento pelo Méto</w:t>
      </w:r>
      <w:r w:rsidRPr="00C02B2B">
        <w:rPr>
          <w:rFonts w:ascii="Times New Roman" w:hAnsi="Times New Roman"/>
          <w:bCs/>
          <w:spacing w:val="6"/>
          <w:sz w:val="24"/>
          <w:szCs w:val="24"/>
        </w:rPr>
        <w:t>do do Valor Justo</w:t>
      </w:r>
      <w:r w:rsidR="007253E8">
        <w:rPr>
          <w:rFonts w:ascii="Times New Roman" w:hAnsi="Times New Roman"/>
          <w:bCs/>
          <w:spacing w:val="6"/>
          <w:sz w:val="24"/>
          <w:szCs w:val="24"/>
        </w:rPr>
        <w:t>.</w:t>
      </w:r>
    </w:p>
    <w:p w:rsidR="00C95200" w:rsidRPr="00167448" w:rsidRDefault="00C95200"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lastRenderedPageBreak/>
        <w:t xml:space="preserve">Embora Pereira (2013) e Costa et al. (2013) já tenham analisado as determinantes na adoção do valor justo para mensuração das propriedades para investimento, esses trabalhos anteriores tiveram como foco a teoria do comportamento oportunista de </w:t>
      </w:r>
      <w:proofErr w:type="spellStart"/>
      <w:r w:rsidRPr="00167448">
        <w:rPr>
          <w:rFonts w:ascii="Times New Roman" w:hAnsi="Times New Roman"/>
          <w:spacing w:val="-8"/>
          <w:sz w:val="24"/>
          <w:szCs w:val="24"/>
        </w:rPr>
        <w:t>Holthausen</w:t>
      </w:r>
      <w:proofErr w:type="spellEnd"/>
      <w:r w:rsidRPr="00167448">
        <w:rPr>
          <w:rFonts w:ascii="Times New Roman" w:hAnsi="Times New Roman"/>
          <w:spacing w:val="-8"/>
          <w:sz w:val="24"/>
          <w:szCs w:val="24"/>
        </w:rPr>
        <w:t xml:space="preserve"> e a teoria da escolha de </w:t>
      </w:r>
      <w:proofErr w:type="spellStart"/>
      <w:r w:rsidRPr="00167448">
        <w:rPr>
          <w:rFonts w:ascii="Times New Roman" w:hAnsi="Times New Roman"/>
          <w:spacing w:val="-8"/>
          <w:sz w:val="24"/>
          <w:szCs w:val="24"/>
        </w:rPr>
        <w:t>Fields</w:t>
      </w:r>
      <w:proofErr w:type="spellEnd"/>
      <w:r w:rsidRPr="00167448">
        <w:rPr>
          <w:rFonts w:ascii="Times New Roman" w:hAnsi="Times New Roman"/>
          <w:spacing w:val="-8"/>
          <w:sz w:val="24"/>
          <w:szCs w:val="24"/>
        </w:rPr>
        <w:t xml:space="preserve">, enquanto neste artigo teremos como foco a Teoria da Agência para analisar a influência da mensuração de propriedades para investimento na política de distribuição de dividendos e juros sobre capital próprio. Ademais, Pereira (2013) e </w:t>
      </w:r>
      <w:r w:rsidR="00955E31" w:rsidRPr="00167448">
        <w:rPr>
          <w:rFonts w:ascii="Times New Roman" w:hAnsi="Times New Roman"/>
          <w:spacing w:val="-8"/>
          <w:sz w:val="24"/>
          <w:szCs w:val="24"/>
        </w:rPr>
        <w:t>Costa et al.</w:t>
      </w:r>
      <w:r w:rsidR="00F85A8F" w:rsidRPr="00167448">
        <w:rPr>
          <w:rFonts w:ascii="Times New Roman" w:hAnsi="Times New Roman"/>
          <w:spacing w:val="-8"/>
          <w:sz w:val="24"/>
          <w:szCs w:val="24"/>
        </w:rPr>
        <w:t xml:space="preserve"> </w:t>
      </w:r>
      <w:r w:rsidR="00A93188" w:rsidRPr="00167448">
        <w:rPr>
          <w:rFonts w:ascii="Times New Roman" w:hAnsi="Times New Roman"/>
          <w:spacing w:val="-8"/>
          <w:sz w:val="24"/>
          <w:szCs w:val="24"/>
        </w:rPr>
        <w:t>(2013)</w:t>
      </w:r>
      <w:r w:rsidR="00955E31" w:rsidRPr="00167448">
        <w:rPr>
          <w:rFonts w:ascii="Times New Roman" w:hAnsi="Times New Roman"/>
          <w:spacing w:val="-8"/>
          <w:sz w:val="24"/>
          <w:szCs w:val="24"/>
        </w:rPr>
        <w:t xml:space="preserve"> </w:t>
      </w:r>
      <w:r w:rsidRPr="00167448">
        <w:rPr>
          <w:rFonts w:ascii="Times New Roman" w:hAnsi="Times New Roman"/>
          <w:spacing w:val="-8"/>
          <w:sz w:val="24"/>
          <w:szCs w:val="24"/>
        </w:rPr>
        <w:t>analisaram um período restrito de tempo pela recém adoção das IFRS, enquanto nesse artigo utiliza</w:t>
      </w:r>
      <w:r w:rsidR="00F25A3C" w:rsidRPr="00167448">
        <w:rPr>
          <w:rFonts w:ascii="Times New Roman" w:hAnsi="Times New Roman"/>
          <w:spacing w:val="-8"/>
          <w:sz w:val="24"/>
          <w:szCs w:val="24"/>
        </w:rPr>
        <w:t xml:space="preserve">-se </w:t>
      </w:r>
      <w:r w:rsidRPr="00167448">
        <w:rPr>
          <w:rFonts w:ascii="Times New Roman" w:hAnsi="Times New Roman"/>
          <w:spacing w:val="-8"/>
          <w:sz w:val="24"/>
          <w:szCs w:val="24"/>
        </w:rPr>
        <w:t>um período mais amplo de análise de determinantes.</w:t>
      </w:r>
    </w:p>
    <w:p w:rsidR="00C95200" w:rsidRPr="00167448" w:rsidRDefault="00C95200"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Para atender a pergunta de pesquisa, adotou-se a regressão logística, sendo esta técnica adequada para descrever o comportamento de uma variável dependente binária (empresa adotou ou não o método do valor justo para a mensuração da propriedade para investimento) e diversas variáveis independentes (</w:t>
      </w:r>
      <w:r w:rsidR="00A877CC" w:rsidRPr="00167448">
        <w:rPr>
          <w:rFonts w:ascii="Times New Roman" w:hAnsi="Times New Roman"/>
          <w:spacing w:val="-8"/>
          <w:sz w:val="24"/>
          <w:szCs w:val="24"/>
        </w:rPr>
        <w:t>Fávero, Belfiore, Silva &amp; Chan, 2009)</w:t>
      </w:r>
      <w:r w:rsidRPr="00167448">
        <w:rPr>
          <w:rFonts w:ascii="Times New Roman" w:hAnsi="Times New Roman"/>
          <w:spacing w:val="-8"/>
          <w:sz w:val="24"/>
          <w:szCs w:val="24"/>
        </w:rPr>
        <w:t>).</w:t>
      </w:r>
    </w:p>
    <w:p w:rsidR="00C95200" w:rsidRPr="00167448" w:rsidRDefault="00C95200"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Sendo assim, este artigo obedecerá a seguinte sequência: uma breve introdução com a contextualização da pesquisa, a questão e os objetivo</w:t>
      </w:r>
      <w:r w:rsidR="005A0CF3" w:rsidRPr="00167448">
        <w:rPr>
          <w:rFonts w:ascii="Times New Roman" w:hAnsi="Times New Roman"/>
          <w:spacing w:val="-8"/>
          <w:sz w:val="24"/>
          <w:szCs w:val="24"/>
        </w:rPr>
        <w:t>s</w:t>
      </w:r>
      <w:r w:rsidRPr="00167448">
        <w:rPr>
          <w:rFonts w:ascii="Times New Roman" w:hAnsi="Times New Roman"/>
          <w:spacing w:val="-8"/>
          <w:sz w:val="24"/>
          <w:szCs w:val="24"/>
        </w:rPr>
        <w:t xml:space="preserve"> da pesquisa, u</w:t>
      </w:r>
      <w:r w:rsidR="00956350" w:rsidRPr="00167448">
        <w:rPr>
          <w:rFonts w:ascii="Times New Roman" w:hAnsi="Times New Roman"/>
          <w:spacing w:val="-8"/>
          <w:sz w:val="24"/>
          <w:szCs w:val="24"/>
        </w:rPr>
        <w:t>m tópico com a fundamentação teórica</w:t>
      </w:r>
      <w:r w:rsidRPr="00167448">
        <w:rPr>
          <w:rFonts w:ascii="Times New Roman" w:hAnsi="Times New Roman"/>
          <w:spacing w:val="-8"/>
          <w:sz w:val="24"/>
          <w:szCs w:val="24"/>
        </w:rPr>
        <w:t xml:space="preserve"> que busca conceituar a Teoria da Agência e os aspectos normativos envolvendo a mensuração das Propriedades para Investimento, outro com os aspectos metodológicos, em outro tópico são apresentados os resultados obtidos e análises dos achados de pesquisa e fi</w:t>
      </w:r>
      <w:r w:rsidR="00956350" w:rsidRPr="00167448">
        <w:rPr>
          <w:rFonts w:ascii="Times New Roman" w:hAnsi="Times New Roman"/>
          <w:spacing w:val="-8"/>
          <w:sz w:val="24"/>
          <w:szCs w:val="24"/>
        </w:rPr>
        <w:t>nalmente as conclusões.</w:t>
      </w:r>
    </w:p>
    <w:p w:rsidR="00C95200" w:rsidRPr="00C91A25" w:rsidRDefault="00C95200" w:rsidP="00C95200">
      <w:pPr>
        <w:ind w:firstLine="567"/>
        <w:jc w:val="both"/>
        <w:rPr>
          <w:rFonts w:ascii="Times New Roman" w:hAnsi="Times New Roman"/>
          <w:bCs/>
          <w:sz w:val="24"/>
          <w:szCs w:val="24"/>
        </w:rPr>
      </w:pPr>
    </w:p>
    <w:p w:rsidR="00C95200" w:rsidRPr="00FC066A" w:rsidRDefault="00D31D56" w:rsidP="00D31D56">
      <w:pPr>
        <w:numPr>
          <w:ilvl w:val="0"/>
          <w:numId w:val="3"/>
        </w:numPr>
        <w:ind w:left="284" w:hanging="284"/>
        <w:rPr>
          <w:rFonts w:ascii="Times New Roman" w:hAnsi="Times New Roman"/>
          <w:b/>
          <w:caps/>
          <w:spacing w:val="-8"/>
          <w:sz w:val="24"/>
          <w:szCs w:val="24"/>
        </w:rPr>
      </w:pPr>
      <w:r w:rsidRPr="00FC066A">
        <w:rPr>
          <w:rFonts w:ascii="Times New Roman" w:hAnsi="Times New Roman"/>
          <w:b/>
          <w:caps/>
          <w:spacing w:val="-8"/>
          <w:sz w:val="24"/>
          <w:szCs w:val="24"/>
        </w:rPr>
        <w:t>Fundamentação Teórica</w:t>
      </w:r>
    </w:p>
    <w:p w:rsidR="00C95200" w:rsidRPr="00C91A25" w:rsidRDefault="00C95200" w:rsidP="00C95200">
      <w:pPr>
        <w:pStyle w:val="PargrafodaLista"/>
        <w:tabs>
          <w:tab w:val="left" w:pos="284"/>
        </w:tabs>
        <w:jc w:val="both"/>
        <w:rPr>
          <w:rFonts w:ascii="Times New Roman" w:hAnsi="Times New Roman"/>
          <w:b/>
          <w:spacing w:val="-8"/>
          <w:sz w:val="24"/>
          <w:szCs w:val="24"/>
        </w:rPr>
      </w:pPr>
    </w:p>
    <w:p w:rsidR="00C95200" w:rsidRPr="00C91A25" w:rsidRDefault="00C95200" w:rsidP="00C95200">
      <w:pPr>
        <w:pStyle w:val="PargrafodaLista"/>
        <w:numPr>
          <w:ilvl w:val="1"/>
          <w:numId w:val="2"/>
        </w:numPr>
        <w:tabs>
          <w:tab w:val="left" w:pos="284"/>
        </w:tabs>
        <w:spacing w:after="0" w:line="240" w:lineRule="auto"/>
        <w:jc w:val="both"/>
        <w:rPr>
          <w:rFonts w:ascii="Times New Roman" w:hAnsi="Times New Roman"/>
          <w:b/>
          <w:spacing w:val="-8"/>
          <w:sz w:val="24"/>
          <w:szCs w:val="24"/>
        </w:rPr>
      </w:pPr>
      <w:r w:rsidRPr="00C91A25">
        <w:rPr>
          <w:rFonts w:ascii="Times New Roman" w:hAnsi="Times New Roman"/>
          <w:b/>
          <w:spacing w:val="-8"/>
          <w:sz w:val="24"/>
          <w:szCs w:val="24"/>
        </w:rPr>
        <w:t xml:space="preserve"> - Teoria da Agência</w:t>
      </w:r>
    </w:p>
    <w:p w:rsidR="0038040F" w:rsidRPr="00DC0672" w:rsidRDefault="0038040F" w:rsidP="0038040F">
      <w:pPr>
        <w:pStyle w:val="PargrafodaLista"/>
        <w:tabs>
          <w:tab w:val="left" w:pos="284"/>
        </w:tabs>
        <w:spacing w:after="0" w:line="240" w:lineRule="auto"/>
        <w:ind w:left="360"/>
        <w:jc w:val="both"/>
        <w:rPr>
          <w:rFonts w:ascii="Times New Roman" w:hAnsi="Times New Roman"/>
          <w:b/>
          <w:i/>
          <w:spacing w:val="-8"/>
          <w:sz w:val="24"/>
          <w:szCs w:val="24"/>
        </w:rPr>
      </w:pPr>
    </w:p>
    <w:p w:rsidR="00C95200" w:rsidRPr="00167448" w:rsidRDefault="00C95200" w:rsidP="00167448">
      <w:pPr>
        <w:ind w:firstLine="709"/>
        <w:jc w:val="both"/>
        <w:rPr>
          <w:rFonts w:ascii="Times New Roman" w:hAnsi="Times New Roman"/>
          <w:spacing w:val="-8"/>
          <w:sz w:val="24"/>
          <w:szCs w:val="24"/>
        </w:rPr>
      </w:pPr>
      <w:r w:rsidRPr="00DC0672">
        <w:rPr>
          <w:rFonts w:ascii="Times New Roman" w:hAnsi="Times New Roman"/>
          <w:spacing w:val="-8"/>
          <w:sz w:val="24"/>
          <w:szCs w:val="24"/>
        </w:rPr>
        <w:t>Segundo</w:t>
      </w:r>
      <w:r w:rsidRPr="00167448">
        <w:rPr>
          <w:rFonts w:ascii="Times New Roman" w:hAnsi="Times New Roman"/>
          <w:spacing w:val="-8"/>
          <w:sz w:val="24"/>
          <w:szCs w:val="24"/>
        </w:rPr>
        <w:t xml:space="preserve"> </w:t>
      </w:r>
      <w:proofErr w:type="spellStart"/>
      <w:r w:rsidR="00DC0BFB" w:rsidRPr="00167448">
        <w:rPr>
          <w:rFonts w:ascii="Times New Roman" w:hAnsi="Times New Roman"/>
          <w:spacing w:val="-8"/>
          <w:sz w:val="24"/>
          <w:szCs w:val="24"/>
        </w:rPr>
        <w:t>Brealey</w:t>
      </w:r>
      <w:proofErr w:type="spellEnd"/>
      <w:r w:rsidR="00DC0BFB" w:rsidRPr="00167448">
        <w:rPr>
          <w:rFonts w:ascii="Times New Roman" w:hAnsi="Times New Roman"/>
          <w:spacing w:val="-8"/>
          <w:sz w:val="24"/>
          <w:szCs w:val="24"/>
        </w:rPr>
        <w:t>, Myers e</w:t>
      </w:r>
      <w:r w:rsidR="00861BDB" w:rsidRPr="00167448">
        <w:rPr>
          <w:rFonts w:ascii="Times New Roman" w:hAnsi="Times New Roman"/>
          <w:spacing w:val="-8"/>
          <w:sz w:val="24"/>
          <w:szCs w:val="24"/>
        </w:rPr>
        <w:t xml:space="preserve"> Allen</w:t>
      </w:r>
      <w:r w:rsidR="00861BDB" w:rsidRPr="00167448" w:rsidDel="00861BDB">
        <w:rPr>
          <w:rFonts w:ascii="Times New Roman" w:hAnsi="Times New Roman"/>
          <w:spacing w:val="-8"/>
          <w:sz w:val="24"/>
          <w:szCs w:val="24"/>
        </w:rPr>
        <w:t xml:space="preserve"> </w:t>
      </w:r>
      <w:r w:rsidRPr="00167448">
        <w:rPr>
          <w:rFonts w:ascii="Times New Roman" w:hAnsi="Times New Roman"/>
          <w:spacing w:val="-8"/>
          <w:sz w:val="24"/>
          <w:szCs w:val="24"/>
        </w:rPr>
        <w:t>(2013, p. 811) uma empresa moderna necessita do esforço de equipe com vários participantes, incluindo gestores, funcionários, acionistas e credores. Acrescentaram que durante muito tempo, os economistas partiram do princípio inquestionável de que todos esses intervenientes pensavam para o bem comum, mas, nos últimos 30 anos, tiveram muito mais a dizer sobre os possíveis conflitos de interesses e como as empresas tentam superar esses conflitos. A essas ideias no seu conjunto, os autores chamaram de teoria da agência.</w:t>
      </w:r>
    </w:p>
    <w:p w:rsidR="00C95200" w:rsidRPr="00167448" w:rsidRDefault="00C95200"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 xml:space="preserve">Jensen e </w:t>
      </w:r>
      <w:proofErr w:type="spellStart"/>
      <w:r w:rsidRPr="00167448">
        <w:rPr>
          <w:rFonts w:ascii="Times New Roman" w:hAnsi="Times New Roman"/>
          <w:spacing w:val="-8"/>
          <w:sz w:val="24"/>
          <w:szCs w:val="24"/>
        </w:rPr>
        <w:t>Meckling</w:t>
      </w:r>
      <w:proofErr w:type="spellEnd"/>
      <w:r w:rsidRPr="00167448">
        <w:rPr>
          <w:rFonts w:ascii="Times New Roman" w:hAnsi="Times New Roman"/>
          <w:spacing w:val="-8"/>
          <w:sz w:val="24"/>
          <w:szCs w:val="24"/>
        </w:rPr>
        <w:t xml:space="preserve"> (1976) definem uma relação de agência como um contrato sob o qual uma ou mais pessoas (principal) emprega uma outra pessoa (agente) para executar serviço que implique a delegação de algum poder de decisão e se ambas as partes da relação forem </w:t>
      </w:r>
      <w:proofErr w:type="spellStart"/>
      <w:r w:rsidRPr="00167448">
        <w:rPr>
          <w:rFonts w:ascii="Times New Roman" w:hAnsi="Times New Roman"/>
          <w:spacing w:val="-8"/>
          <w:sz w:val="24"/>
          <w:szCs w:val="24"/>
        </w:rPr>
        <w:t>maximizadoras</w:t>
      </w:r>
      <w:proofErr w:type="spellEnd"/>
      <w:r w:rsidRPr="00167448">
        <w:rPr>
          <w:rFonts w:ascii="Times New Roman" w:hAnsi="Times New Roman"/>
          <w:spacing w:val="-8"/>
          <w:sz w:val="24"/>
          <w:szCs w:val="24"/>
        </w:rPr>
        <w:t xml:space="preserve"> de valor, existem boas razões para acreditar que o agente nem sempre agirá de acordo com os interesses do principal.</w:t>
      </w:r>
      <w:r w:rsidR="00164BA9" w:rsidRPr="00167448">
        <w:rPr>
          <w:rFonts w:ascii="Times New Roman" w:hAnsi="Times New Roman"/>
          <w:spacing w:val="-8"/>
          <w:sz w:val="24"/>
          <w:szCs w:val="24"/>
        </w:rPr>
        <w:t xml:space="preserve"> Os autores afirmaram que </w:t>
      </w:r>
      <w:proofErr w:type="gramStart"/>
      <w:r w:rsidR="00164BA9" w:rsidRPr="00167448">
        <w:rPr>
          <w:rFonts w:ascii="Times New Roman" w:hAnsi="Times New Roman"/>
          <w:spacing w:val="-8"/>
          <w:sz w:val="24"/>
          <w:szCs w:val="24"/>
        </w:rPr>
        <w:t>a magnitude dos custos de agência variam</w:t>
      </w:r>
      <w:proofErr w:type="gramEnd"/>
      <w:r w:rsidR="00164BA9" w:rsidRPr="00167448">
        <w:rPr>
          <w:rFonts w:ascii="Times New Roman" w:hAnsi="Times New Roman"/>
          <w:spacing w:val="-8"/>
          <w:sz w:val="24"/>
          <w:szCs w:val="24"/>
        </w:rPr>
        <w:t xml:space="preserve"> de empresa para empresa, dependo do apetite dos agentes, na qual exercem suas próprias preferencias em contraponto a maximização de valor para a companhia, além dos custos para monitoramento destes gestores.</w:t>
      </w:r>
    </w:p>
    <w:p w:rsidR="00F31114" w:rsidRPr="00C91A25" w:rsidRDefault="00F31114" w:rsidP="00C95200">
      <w:pPr>
        <w:pStyle w:val="Cabealho"/>
        <w:tabs>
          <w:tab w:val="left" w:pos="900"/>
          <w:tab w:val="left" w:pos="1440"/>
          <w:tab w:val="left" w:pos="1620"/>
        </w:tabs>
        <w:ind w:firstLine="567"/>
        <w:jc w:val="both"/>
        <w:rPr>
          <w:rFonts w:ascii="Times New Roman" w:hAnsi="Times New Roman"/>
          <w:b/>
          <w:spacing w:val="-8"/>
          <w:sz w:val="24"/>
          <w:szCs w:val="24"/>
        </w:rPr>
      </w:pPr>
    </w:p>
    <w:p w:rsidR="00C95200" w:rsidRPr="00C91A25" w:rsidRDefault="00C95200" w:rsidP="00C95200">
      <w:pPr>
        <w:pStyle w:val="PargrafodaLista"/>
        <w:numPr>
          <w:ilvl w:val="1"/>
          <w:numId w:val="2"/>
        </w:numPr>
        <w:tabs>
          <w:tab w:val="left" w:pos="284"/>
        </w:tabs>
        <w:spacing w:after="0" w:line="240" w:lineRule="auto"/>
        <w:jc w:val="both"/>
        <w:rPr>
          <w:rFonts w:ascii="Times New Roman" w:hAnsi="Times New Roman"/>
          <w:b/>
          <w:spacing w:val="-8"/>
          <w:sz w:val="24"/>
          <w:szCs w:val="24"/>
        </w:rPr>
      </w:pPr>
      <w:r w:rsidRPr="00C91A25">
        <w:rPr>
          <w:rFonts w:ascii="Times New Roman" w:hAnsi="Times New Roman"/>
          <w:b/>
          <w:spacing w:val="-8"/>
          <w:sz w:val="24"/>
          <w:szCs w:val="24"/>
        </w:rPr>
        <w:t xml:space="preserve"> - Propriedades para Investimento</w:t>
      </w:r>
    </w:p>
    <w:p w:rsidR="0038040F" w:rsidRPr="00DC0672" w:rsidRDefault="0038040F" w:rsidP="0038040F">
      <w:pPr>
        <w:pStyle w:val="PargrafodaLista"/>
        <w:tabs>
          <w:tab w:val="left" w:pos="284"/>
        </w:tabs>
        <w:spacing w:after="0" w:line="240" w:lineRule="auto"/>
        <w:ind w:left="360"/>
        <w:jc w:val="both"/>
        <w:rPr>
          <w:rFonts w:ascii="Times New Roman" w:hAnsi="Times New Roman"/>
          <w:b/>
          <w:i/>
          <w:spacing w:val="-8"/>
          <w:sz w:val="24"/>
          <w:szCs w:val="24"/>
        </w:rPr>
      </w:pPr>
    </w:p>
    <w:p w:rsidR="00C95200" w:rsidRDefault="00C95200" w:rsidP="00167448">
      <w:pPr>
        <w:ind w:firstLine="709"/>
        <w:jc w:val="both"/>
        <w:rPr>
          <w:rFonts w:ascii="Times New Roman" w:hAnsi="Times New Roman"/>
          <w:spacing w:val="-8"/>
          <w:sz w:val="24"/>
          <w:szCs w:val="24"/>
        </w:rPr>
      </w:pPr>
      <w:r w:rsidRPr="00F345DA">
        <w:rPr>
          <w:rFonts w:ascii="Times New Roman" w:hAnsi="Times New Roman"/>
          <w:spacing w:val="-8"/>
          <w:sz w:val="24"/>
          <w:szCs w:val="24"/>
        </w:rPr>
        <w:t xml:space="preserve">Segundo </w:t>
      </w:r>
      <w:proofErr w:type="spellStart"/>
      <w:r w:rsidR="00DC0BFB" w:rsidRPr="00F345DA">
        <w:rPr>
          <w:rFonts w:ascii="Times New Roman" w:hAnsi="Times New Roman"/>
          <w:spacing w:val="-8"/>
          <w:sz w:val="24"/>
          <w:szCs w:val="24"/>
        </w:rPr>
        <w:t>Iudícibus</w:t>
      </w:r>
      <w:proofErr w:type="spellEnd"/>
      <w:r w:rsidR="00DC0BFB" w:rsidRPr="00F345DA">
        <w:rPr>
          <w:rFonts w:ascii="Times New Roman" w:hAnsi="Times New Roman"/>
          <w:spacing w:val="-8"/>
          <w:sz w:val="24"/>
          <w:szCs w:val="24"/>
        </w:rPr>
        <w:t xml:space="preserve">, Martins, </w:t>
      </w:r>
      <w:proofErr w:type="spellStart"/>
      <w:r w:rsidR="00DC0BFB" w:rsidRPr="00F345DA">
        <w:rPr>
          <w:rFonts w:ascii="Times New Roman" w:hAnsi="Times New Roman"/>
          <w:spacing w:val="-8"/>
          <w:sz w:val="24"/>
          <w:szCs w:val="24"/>
        </w:rPr>
        <w:t>Gelbecke</w:t>
      </w:r>
      <w:proofErr w:type="spellEnd"/>
      <w:r w:rsidR="00DC0BFB" w:rsidRPr="00F345DA">
        <w:rPr>
          <w:rFonts w:ascii="Times New Roman" w:hAnsi="Times New Roman"/>
          <w:spacing w:val="-8"/>
          <w:sz w:val="24"/>
          <w:szCs w:val="24"/>
        </w:rPr>
        <w:t xml:space="preserve"> e</w:t>
      </w:r>
      <w:r w:rsidR="00EF5404" w:rsidRPr="00A57572">
        <w:rPr>
          <w:rFonts w:ascii="Times New Roman" w:hAnsi="Times New Roman"/>
          <w:spacing w:val="-8"/>
          <w:sz w:val="24"/>
          <w:szCs w:val="24"/>
        </w:rPr>
        <w:t xml:space="preserve"> Santos </w:t>
      </w:r>
      <w:r w:rsidRPr="00C02B2B">
        <w:rPr>
          <w:rFonts w:ascii="Times New Roman" w:hAnsi="Times New Roman"/>
          <w:spacing w:val="-8"/>
          <w:sz w:val="24"/>
          <w:szCs w:val="24"/>
        </w:rPr>
        <w:t>(2013), antes da Lei n° 11.638 os imóveis e terrenos mantidos exclusivamente para valor</w:t>
      </w:r>
      <w:r w:rsidRPr="00A93188">
        <w:rPr>
          <w:rFonts w:ascii="Times New Roman" w:hAnsi="Times New Roman"/>
          <w:spacing w:val="-8"/>
          <w:sz w:val="24"/>
          <w:szCs w:val="24"/>
        </w:rPr>
        <w:t>ização de capital eram classificados como outros investimentos devido a não serem utilizados nas atividades atuais da Sociedade e pela ausência de uma definição presente de que seriam utilizados no futuro nas operações da entidade. Acrescentaram que para d</w:t>
      </w:r>
      <w:r w:rsidRPr="007B0D92">
        <w:rPr>
          <w:rFonts w:ascii="Times New Roman" w:hAnsi="Times New Roman"/>
          <w:spacing w:val="-8"/>
          <w:sz w:val="24"/>
          <w:szCs w:val="24"/>
        </w:rPr>
        <w:t>irimir tal questão</w:t>
      </w:r>
      <w:r w:rsidRPr="00C91A25">
        <w:rPr>
          <w:rFonts w:ascii="Times New Roman" w:hAnsi="Times New Roman"/>
          <w:spacing w:val="-8"/>
          <w:sz w:val="24"/>
          <w:szCs w:val="24"/>
        </w:rPr>
        <w:t xml:space="preserve"> o artigo 177 da citada lei determinou que as normas elaboradas pela CVM devem estar em consonância com os padrões internacionais de contabilidade, ficando as entidades reguladas pelo Órgão obrigadas a cumprir os Pronunciamentos técnicos, Interpretações e Orientações do CPC que forem por ele aprovados.</w:t>
      </w:r>
    </w:p>
    <w:p w:rsidR="00C95200" w:rsidRPr="00F345DA" w:rsidRDefault="00C95200" w:rsidP="00167448">
      <w:pPr>
        <w:ind w:firstLine="709"/>
        <w:jc w:val="both"/>
        <w:rPr>
          <w:rFonts w:ascii="Times New Roman" w:hAnsi="Times New Roman"/>
          <w:spacing w:val="-6"/>
          <w:sz w:val="24"/>
          <w:szCs w:val="24"/>
        </w:rPr>
      </w:pPr>
      <w:r w:rsidRPr="00167448">
        <w:rPr>
          <w:rFonts w:ascii="Times New Roman" w:hAnsi="Times New Roman"/>
          <w:spacing w:val="-8"/>
          <w:sz w:val="24"/>
          <w:szCs w:val="24"/>
        </w:rPr>
        <w:t>O CPC 28 - Propriedade para Investimento estabeleceu o seu alcance como</w:t>
      </w:r>
      <w:r w:rsidR="00356332" w:rsidRPr="00167448">
        <w:rPr>
          <w:rFonts w:ascii="Times New Roman" w:hAnsi="Times New Roman"/>
          <w:spacing w:val="-8"/>
          <w:sz w:val="24"/>
          <w:szCs w:val="24"/>
        </w:rPr>
        <w:t>:</w:t>
      </w:r>
      <w:r w:rsidRPr="00167448">
        <w:rPr>
          <w:rFonts w:ascii="Times New Roman" w:hAnsi="Times New Roman"/>
          <w:spacing w:val="-8"/>
          <w:sz w:val="24"/>
          <w:szCs w:val="24"/>
        </w:rPr>
        <w:t xml:space="preserve"> à mensuração nas demonstrações contábeis de arrendatário de propriedades para investimento mantidas em arrendamento contabilizado como arrendamento financeiro e à mensuração nas demonstrações</w:t>
      </w:r>
      <w:r w:rsidRPr="00DC0672">
        <w:rPr>
          <w:rFonts w:ascii="Times New Roman" w:hAnsi="Times New Roman"/>
          <w:spacing w:val="-6"/>
          <w:sz w:val="24"/>
          <w:szCs w:val="24"/>
        </w:rPr>
        <w:t xml:space="preserve"> contábeis do arrendador de propriedades para investimento dis</w:t>
      </w:r>
      <w:r w:rsidRPr="00F345DA">
        <w:rPr>
          <w:rFonts w:ascii="Times New Roman" w:hAnsi="Times New Roman"/>
          <w:spacing w:val="-6"/>
          <w:sz w:val="24"/>
          <w:szCs w:val="24"/>
        </w:rPr>
        <w:t xml:space="preserve">ponibilizadas ao arrendatário em arrendamento operacional. A propriedade para Investimento deve ser reconhecida como ativo quando os benefícios </w:t>
      </w:r>
      <w:r w:rsidRPr="00F345DA">
        <w:rPr>
          <w:rFonts w:ascii="Times New Roman" w:hAnsi="Times New Roman"/>
          <w:spacing w:val="-6"/>
          <w:sz w:val="24"/>
          <w:szCs w:val="24"/>
        </w:rPr>
        <w:lastRenderedPageBreak/>
        <w:t>econômicos futuros associados fluirão para a entidade; e seu o custo possa ser mensurado de forma confiável.</w:t>
      </w:r>
    </w:p>
    <w:p w:rsidR="00C95200" w:rsidRPr="00167448" w:rsidRDefault="00C95200"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 xml:space="preserve">Por fim, ainda </w:t>
      </w:r>
      <w:proofErr w:type="spellStart"/>
      <w:r w:rsidRPr="00167448">
        <w:rPr>
          <w:rFonts w:ascii="Times New Roman" w:hAnsi="Times New Roman"/>
          <w:spacing w:val="-8"/>
          <w:sz w:val="24"/>
          <w:szCs w:val="24"/>
        </w:rPr>
        <w:t>Iudícibus</w:t>
      </w:r>
      <w:proofErr w:type="spellEnd"/>
      <w:r w:rsidRPr="00167448">
        <w:rPr>
          <w:rFonts w:ascii="Times New Roman" w:hAnsi="Times New Roman"/>
          <w:spacing w:val="-8"/>
          <w:sz w:val="24"/>
          <w:szCs w:val="24"/>
        </w:rPr>
        <w:t xml:space="preserve"> et al</w:t>
      </w:r>
      <w:r w:rsidR="00E4064E" w:rsidRPr="00167448">
        <w:rPr>
          <w:rFonts w:ascii="Times New Roman" w:hAnsi="Times New Roman"/>
          <w:spacing w:val="-8"/>
          <w:sz w:val="24"/>
          <w:szCs w:val="24"/>
        </w:rPr>
        <w:t>.</w:t>
      </w:r>
      <w:r w:rsidRPr="00167448">
        <w:rPr>
          <w:rFonts w:ascii="Times New Roman" w:hAnsi="Times New Roman"/>
          <w:spacing w:val="-8"/>
          <w:sz w:val="24"/>
          <w:szCs w:val="24"/>
        </w:rPr>
        <w:t xml:space="preserve"> (2013) destacam que uma propriedade para investimento deve ser incialmente mensurada pelo seu valor de custo, acrescida dos dispêndios de transação atribuíveis. No entanto, quando da opção pelo modelo de valor justo para avaliação após o reconhecimento inicial, os ganhos e perdas deverão ser reconhecimentos no resultado do período em que ocorrer, por esse motivo, consta do modelo de planos de contas a segregação das propriedades para investimento em avaliadas pelo valor justo e pelo custo.</w:t>
      </w:r>
    </w:p>
    <w:p w:rsidR="00C95200" w:rsidRPr="00167448" w:rsidRDefault="00C95200"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Rodrigues (201</w:t>
      </w:r>
      <w:r w:rsidR="00E444FE" w:rsidRPr="00167448">
        <w:rPr>
          <w:rFonts w:ascii="Times New Roman" w:hAnsi="Times New Roman"/>
          <w:spacing w:val="-8"/>
          <w:sz w:val="24"/>
          <w:szCs w:val="24"/>
        </w:rPr>
        <w:t>3</w:t>
      </w:r>
      <w:r w:rsidRPr="00167448">
        <w:rPr>
          <w:rFonts w:ascii="Times New Roman" w:hAnsi="Times New Roman"/>
          <w:spacing w:val="-8"/>
          <w:sz w:val="24"/>
          <w:szCs w:val="24"/>
        </w:rPr>
        <w:t xml:space="preserve">) analisou a IAS 40 e as diretivas europeias sobre o tema e encontrou uma série de inconsistências no reconhecimento, mensuração e evidenciação de propriedades para investimento, afirmando que falta por parte dos </w:t>
      </w:r>
      <w:proofErr w:type="spellStart"/>
      <w:r w:rsidRPr="00167448">
        <w:rPr>
          <w:rFonts w:ascii="Times New Roman" w:hAnsi="Times New Roman"/>
          <w:spacing w:val="-8"/>
          <w:sz w:val="24"/>
          <w:szCs w:val="24"/>
        </w:rPr>
        <w:t>normatizado</w:t>
      </w:r>
      <w:r w:rsidR="00EF02C7" w:rsidRPr="00167448">
        <w:rPr>
          <w:rFonts w:ascii="Times New Roman" w:hAnsi="Times New Roman"/>
          <w:spacing w:val="-8"/>
          <w:sz w:val="24"/>
          <w:szCs w:val="24"/>
        </w:rPr>
        <w:t>re</w:t>
      </w:r>
      <w:r w:rsidRPr="00167448">
        <w:rPr>
          <w:rFonts w:ascii="Times New Roman" w:hAnsi="Times New Roman"/>
          <w:spacing w:val="-8"/>
          <w:sz w:val="24"/>
          <w:szCs w:val="24"/>
        </w:rPr>
        <w:t>s</w:t>
      </w:r>
      <w:proofErr w:type="spellEnd"/>
      <w:r w:rsidRPr="00167448">
        <w:rPr>
          <w:rFonts w:ascii="Times New Roman" w:hAnsi="Times New Roman"/>
          <w:spacing w:val="-8"/>
          <w:sz w:val="24"/>
          <w:szCs w:val="24"/>
        </w:rPr>
        <w:t xml:space="preserve"> realismo e transparência no que tange às propriedades para investimento, o que compromete a qualidade da informação contábil.</w:t>
      </w:r>
      <w:r w:rsidR="00082451">
        <w:rPr>
          <w:rFonts w:ascii="Times New Roman" w:hAnsi="Times New Roman"/>
          <w:spacing w:val="-8"/>
          <w:sz w:val="24"/>
          <w:szCs w:val="24"/>
        </w:rPr>
        <w:t xml:space="preserve"> </w:t>
      </w:r>
      <w:r w:rsidR="00082451" w:rsidRPr="00167448">
        <w:rPr>
          <w:rFonts w:ascii="Times New Roman" w:hAnsi="Times New Roman"/>
          <w:spacing w:val="-8"/>
          <w:sz w:val="24"/>
          <w:szCs w:val="24"/>
        </w:rPr>
        <w:t>Lopes e Rodrigues (2007</w:t>
      </w:r>
      <w:r w:rsidR="00082451">
        <w:rPr>
          <w:rFonts w:ascii="Times New Roman" w:hAnsi="Times New Roman"/>
          <w:spacing w:val="-8"/>
          <w:sz w:val="24"/>
          <w:szCs w:val="24"/>
        </w:rPr>
        <w:t>) evidenciaram a</w:t>
      </w:r>
      <w:r w:rsidR="00082451" w:rsidRPr="00167448">
        <w:rPr>
          <w:rFonts w:ascii="Times New Roman" w:hAnsi="Times New Roman"/>
          <w:spacing w:val="-8"/>
          <w:sz w:val="24"/>
          <w:szCs w:val="24"/>
        </w:rPr>
        <w:t xml:space="preserve"> baixa adoção por parte de empresas portuguesas.</w:t>
      </w:r>
    </w:p>
    <w:p w:rsidR="00082451" w:rsidRDefault="00082451" w:rsidP="00167448">
      <w:pPr>
        <w:ind w:firstLine="709"/>
        <w:jc w:val="both"/>
        <w:rPr>
          <w:rFonts w:ascii="Times New Roman" w:hAnsi="Times New Roman"/>
          <w:spacing w:val="-8"/>
          <w:sz w:val="24"/>
          <w:szCs w:val="24"/>
        </w:rPr>
      </w:pPr>
      <w:r>
        <w:rPr>
          <w:rFonts w:ascii="Times New Roman" w:hAnsi="Times New Roman"/>
          <w:spacing w:val="-8"/>
          <w:sz w:val="24"/>
          <w:szCs w:val="24"/>
        </w:rPr>
        <w:t xml:space="preserve">O estudo de </w:t>
      </w:r>
      <w:r w:rsidR="00C95200" w:rsidRPr="00167448">
        <w:rPr>
          <w:rFonts w:ascii="Times New Roman" w:hAnsi="Times New Roman"/>
          <w:spacing w:val="-8"/>
          <w:sz w:val="24"/>
          <w:szCs w:val="24"/>
        </w:rPr>
        <w:t xml:space="preserve">Pereira (2013) </w:t>
      </w:r>
      <w:r>
        <w:rPr>
          <w:rFonts w:ascii="Times New Roman" w:hAnsi="Times New Roman"/>
          <w:spacing w:val="-8"/>
          <w:sz w:val="24"/>
          <w:szCs w:val="24"/>
        </w:rPr>
        <w:t xml:space="preserve">teve </w:t>
      </w:r>
      <w:r w:rsidRPr="00082451">
        <w:rPr>
          <w:rFonts w:ascii="Times New Roman" w:hAnsi="Times New Roman"/>
          <w:spacing w:val="-8"/>
          <w:sz w:val="24"/>
          <w:szCs w:val="24"/>
        </w:rPr>
        <w:t xml:space="preserve">o objetivo de identificar quais os determinantes da mensuração do valor justo no Brasil, considerando o contexto do CPC 28 – Propriedade para Investimento. Utilizou-se o balanço consolidado de 2009 de 36 empresas do banco de dados </w:t>
      </w:r>
      <w:proofErr w:type="spellStart"/>
      <w:r w:rsidRPr="00082451">
        <w:rPr>
          <w:rFonts w:ascii="Times New Roman" w:hAnsi="Times New Roman"/>
          <w:spacing w:val="-8"/>
          <w:sz w:val="24"/>
          <w:szCs w:val="24"/>
        </w:rPr>
        <w:t>Economática</w:t>
      </w:r>
      <w:proofErr w:type="spellEnd"/>
      <w:r w:rsidRPr="00082451">
        <w:rPr>
          <w:rFonts w:ascii="Times New Roman" w:hAnsi="Times New Roman"/>
          <w:spacing w:val="-8"/>
          <w:sz w:val="24"/>
          <w:szCs w:val="24"/>
        </w:rPr>
        <w:t>.</w:t>
      </w:r>
      <w:r>
        <w:rPr>
          <w:rFonts w:ascii="Times New Roman" w:hAnsi="Times New Roman"/>
          <w:spacing w:val="-8"/>
          <w:sz w:val="24"/>
          <w:szCs w:val="24"/>
        </w:rPr>
        <w:t xml:space="preserve"> C</w:t>
      </w:r>
      <w:r w:rsidR="00C95200" w:rsidRPr="00167448">
        <w:rPr>
          <w:rFonts w:ascii="Times New Roman" w:hAnsi="Times New Roman"/>
          <w:spacing w:val="-8"/>
          <w:sz w:val="24"/>
          <w:szCs w:val="24"/>
        </w:rPr>
        <w:t xml:space="preserve">om base na eficiência dos contratos, na assimetria informacional e no comportamento oportunista de </w:t>
      </w:r>
      <w:proofErr w:type="spellStart"/>
      <w:r w:rsidR="00C95200" w:rsidRPr="00167448">
        <w:rPr>
          <w:rFonts w:ascii="Times New Roman" w:hAnsi="Times New Roman"/>
          <w:spacing w:val="-8"/>
          <w:sz w:val="24"/>
          <w:szCs w:val="24"/>
        </w:rPr>
        <w:t>Holthausen</w:t>
      </w:r>
      <w:proofErr w:type="spellEnd"/>
      <w:r w:rsidR="00C95200" w:rsidRPr="00167448">
        <w:rPr>
          <w:rFonts w:ascii="Times New Roman" w:hAnsi="Times New Roman"/>
          <w:spacing w:val="-8"/>
          <w:sz w:val="24"/>
          <w:szCs w:val="24"/>
        </w:rPr>
        <w:t xml:space="preserve">, </w:t>
      </w:r>
      <w:r w:rsidR="004A7F34">
        <w:rPr>
          <w:rFonts w:ascii="Times New Roman" w:hAnsi="Times New Roman"/>
          <w:spacing w:val="-8"/>
          <w:sz w:val="24"/>
          <w:szCs w:val="24"/>
        </w:rPr>
        <w:t xml:space="preserve">a pesquisa </w:t>
      </w:r>
      <w:r w:rsidR="00C95200" w:rsidRPr="00167448">
        <w:rPr>
          <w:rFonts w:ascii="Times New Roman" w:hAnsi="Times New Roman"/>
          <w:spacing w:val="-8"/>
          <w:sz w:val="24"/>
          <w:szCs w:val="24"/>
        </w:rPr>
        <w:t xml:space="preserve">evidenciou que os custos políticos reduzem a probabilidade de utilizar o valor justo e não encontrou evidências de que tamanho, endividamento, proporção de propriedades para investimento em relação ao ativo total, retorno do investimento e lucro líquido tem influência na escolha da política contábil de propriedades para investimento. </w:t>
      </w:r>
    </w:p>
    <w:p w:rsidR="00082451" w:rsidRDefault="00C95200"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Costa et al. (2013) identificaram que as empresas com menor receita líquida tendem a escolher o método do valor justo e destacaram uma baixa adoção do método do valor justo por parte das empre</w:t>
      </w:r>
      <w:r w:rsidR="004A7F34">
        <w:rPr>
          <w:rFonts w:ascii="Times New Roman" w:hAnsi="Times New Roman"/>
          <w:spacing w:val="-8"/>
          <w:sz w:val="24"/>
          <w:szCs w:val="24"/>
        </w:rPr>
        <w:t xml:space="preserve">sas brasileiras. O objetivo da pesquisa </w:t>
      </w:r>
      <w:r w:rsidR="004A7F34" w:rsidRPr="004A7F34">
        <w:rPr>
          <w:rFonts w:ascii="Times New Roman" w:hAnsi="Times New Roman"/>
          <w:spacing w:val="-8"/>
          <w:sz w:val="24"/>
          <w:szCs w:val="24"/>
        </w:rPr>
        <w:t xml:space="preserve">foi analisar os incentivos econômicos para seleção do método (custo ou valor justo) de mensuração contábil das propriedades para investimento por parte das empresas brasileiras não financeiras de capital aberto. </w:t>
      </w:r>
      <w:r w:rsidR="004A7F34">
        <w:rPr>
          <w:rFonts w:ascii="Times New Roman" w:hAnsi="Times New Roman"/>
          <w:spacing w:val="-8"/>
          <w:sz w:val="24"/>
          <w:szCs w:val="24"/>
        </w:rPr>
        <w:t xml:space="preserve">Os dados foram obtidos por meio de consulta </w:t>
      </w:r>
      <w:r w:rsidR="004A7F34" w:rsidRPr="004A7F34">
        <w:rPr>
          <w:rFonts w:ascii="Times New Roman" w:hAnsi="Times New Roman"/>
          <w:spacing w:val="-8"/>
          <w:sz w:val="24"/>
          <w:szCs w:val="24"/>
        </w:rPr>
        <w:t xml:space="preserve">em agosto de 2011, a base de dados </w:t>
      </w:r>
      <w:proofErr w:type="spellStart"/>
      <w:r w:rsidR="004A7F34" w:rsidRPr="004A7F34">
        <w:rPr>
          <w:rFonts w:ascii="Times New Roman" w:hAnsi="Times New Roman"/>
          <w:spacing w:val="-8"/>
          <w:sz w:val="24"/>
          <w:szCs w:val="24"/>
        </w:rPr>
        <w:t>Economática</w:t>
      </w:r>
      <w:proofErr w:type="spellEnd"/>
      <w:r w:rsidR="004A7F34">
        <w:rPr>
          <w:rFonts w:ascii="Times New Roman" w:hAnsi="Times New Roman"/>
          <w:spacing w:val="-8"/>
          <w:sz w:val="24"/>
          <w:szCs w:val="24"/>
        </w:rPr>
        <w:t xml:space="preserve"> </w:t>
      </w:r>
      <w:r w:rsidR="004A7F34" w:rsidRPr="004A7F34">
        <w:rPr>
          <w:rFonts w:ascii="Times New Roman" w:hAnsi="Times New Roman"/>
          <w:spacing w:val="-8"/>
          <w:sz w:val="24"/>
          <w:szCs w:val="24"/>
        </w:rPr>
        <w:t>de empresas não financeiras de capital aberto. Em seguida, foram consultadas as notas explicativas das demonstrações financeiras do ano de 2010 de cada uma dessas empresas para verificar a existência de propriedades para investimento em seus balanços. De um total de 335 empresas não financeiras de capital aberto analisadas, foram encon</w:t>
      </w:r>
      <w:r w:rsidR="004A7F34">
        <w:rPr>
          <w:rFonts w:ascii="Times New Roman" w:hAnsi="Times New Roman"/>
          <w:spacing w:val="-8"/>
          <w:sz w:val="24"/>
          <w:szCs w:val="24"/>
        </w:rPr>
        <w:t xml:space="preserve">tradas 36 empresas </w:t>
      </w:r>
      <w:r w:rsidR="004A7F34" w:rsidRPr="004A7F34">
        <w:rPr>
          <w:rFonts w:ascii="Times New Roman" w:hAnsi="Times New Roman"/>
          <w:spacing w:val="-8"/>
          <w:sz w:val="24"/>
          <w:szCs w:val="24"/>
        </w:rPr>
        <w:t>que possuíam propriedades para investimento.</w:t>
      </w:r>
    </w:p>
    <w:p w:rsidR="00C95200" w:rsidRPr="00082451" w:rsidRDefault="00C95200" w:rsidP="00082451">
      <w:pPr>
        <w:ind w:firstLine="709"/>
        <w:jc w:val="both"/>
        <w:rPr>
          <w:rFonts w:ascii="Times New Roman" w:hAnsi="Times New Roman"/>
          <w:spacing w:val="-8"/>
          <w:sz w:val="24"/>
          <w:szCs w:val="24"/>
        </w:rPr>
      </w:pPr>
      <w:r w:rsidRPr="00167448">
        <w:rPr>
          <w:rFonts w:ascii="Times New Roman" w:hAnsi="Times New Roman"/>
          <w:spacing w:val="-8"/>
          <w:sz w:val="24"/>
          <w:szCs w:val="24"/>
        </w:rPr>
        <w:t xml:space="preserve">Destacam </w:t>
      </w:r>
      <w:proofErr w:type="spellStart"/>
      <w:r w:rsidRPr="00167448">
        <w:rPr>
          <w:rFonts w:ascii="Times New Roman" w:hAnsi="Times New Roman"/>
          <w:spacing w:val="-8"/>
          <w:sz w:val="24"/>
          <w:szCs w:val="24"/>
        </w:rPr>
        <w:t>Kolozsvari</w:t>
      </w:r>
      <w:proofErr w:type="spellEnd"/>
      <w:r w:rsidRPr="00167448">
        <w:rPr>
          <w:rFonts w:ascii="Times New Roman" w:hAnsi="Times New Roman"/>
          <w:spacing w:val="-8"/>
          <w:sz w:val="24"/>
          <w:szCs w:val="24"/>
        </w:rPr>
        <w:t xml:space="preserve"> et al. (2014) que as empresas que escolhem o método do valor justo apresentam</w:t>
      </w:r>
      <w:r w:rsidR="00082451">
        <w:rPr>
          <w:rFonts w:ascii="Times New Roman" w:hAnsi="Times New Roman"/>
          <w:spacing w:val="-8"/>
          <w:sz w:val="24"/>
          <w:szCs w:val="24"/>
        </w:rPr>
        <w:t xml:space="preserve"> desempenho superior às demais. </w:t>
      </w:r>
      <w:r w:rsidRPr="00167448">
        <w:rPr>
          <w:rFonts w:ascii="Times New Roman" w:hAnsi="Times New Roman"/>
          <w:spacing w:val="-8"/>
          <w:sz w:val="24"/>
          <w:szCs w:val="24"/>
        </w:rPr>
        <w:t xml:space="preserve">Com relação à mensuração, </w:t>
      </w:r>
      <w:r w:rsidR="006775A5" w:rsidRPr="00167448">
        <w:rPr>
          <w:rFonts w:ascii="Times New Roman" w:hAnsi="Times New Roman"/>
          <w:spacing w:val="-8"/>
          <w:sz w:val="24"/>
          <w:szCs w:val="24"/>
        </w:rPr>
        <w:t>Ba</w:t>
      </w:r>
      <w:r w:rsidR="00DC0BFB" w:rsidRPr="00167448">
        <w:rPr>
          <w:rFonts w:ascii="Times New Roman" w:hAnsi="Times New Roman"/>
          <w:spacing w:val="-8"/>
          <w:sz w:val="24"/>
          <w:szCs w:val="24"/>
        </w:rPr>
        <w:t>tista, da Silva Prado, Machado e</w:t>
      </w:r>
      <w:r w:rsidR="006775A5" w:rsidRPr="00167448">
        <w:rPr>
          <w:rFonts w:ascii="Times New Roman" w:hAnsi="Times New Roman"/>
          <w:spacing w:val="-8"/>
          <w:sz w:val="24"/>
          <w:szCs w:val="24"/>
        </w:rPr>
        <w:t xml:space="preserve"> Paulo</w:t>
      </w:r>
      <w:r w:rsidR="00082451">
        <w:rPr>
          <w:rFonts w:ascii="Times New Roman" w:hAnsi="Times New Roman"/>
          <w:spacing w:val="-8"/>
          <w:sz w:val="24"/>
          <w:szCs w:val="24"/>
        </w:rPr>
        <w:t xml:space="preserve"> </w:t>
      </w:r>
      <w:r w:rsidRPr="00167448">
        <w:rPr>
          <w:rFonts w:ascii="Times New Roman" w:hAnsi="Times New Roman"/>
          <w:spacing w:val="-8"/>
          <w:sz w:val="24"/>
          <w:szCs w:val="24"/>
        </w:rPr>
        <w:t>(2013) destacaram a predominância do uso do nível 3</w:t>
      </w:r>
      <w:r w:rsidR="00513FBF" w:rsidRPr="00167448">
        <w:rPr>
          <w:rFonts w:ascii="Times New Roman" w:hAnsi="Times New Roman"/>
          <w:spacing w:val="-8"/>
          <w:sz w:val="24"/>
          <w:szCs w:val="24"/>
        </w:rPr>
        <w:t xml:space="preserve"> (uso de parâmetros não observáveis pelo mercado)</w:t>
      </w:r>
      <w:r w:rsidRPr="00167448">
        <w:rPr>
          <w:rFonts w:ascii="Times New Roman" w:hAnsi="Times New Roman"/>
          <w:spacing w:val="-8"/>
          <w:sz w:val="24"/>
          <w:szCs w:val="24"/>
        </w:rPr>
        <w:t xml:space="preserve"> na apuração do valor justo das propriedades para investimento por parte das empresas brasileiras do setor de exploração de imóveis, o que pode causar uma menor confiabilidade nas informações geradas, uma vez que não estão sendo utilizados dados diretamente observáveis no mercado para a mensuração das propriedades para investimento</w:t>
      </w:r>
      <w:r w:rsidR="00CC357E" w:rsidRPr="00167448">
        <w:rPr>
          <w:rFonts w:ascii="Times New Roman" w:hAnsi="Times New Roman"/>
          <w:spacing w:val="-8"/>
          <w:sz w:val="24"/>
          <w:szCs w:val="24"/>
        </w:rPr>
        <w:t>,</w:t>
      </w:r>
      <w:r w:rsidRPr="00167448">
        <w:rPr>
          <w:rFonts w:ascii="Times New Roman" w:hAnsi="Times New Roman"/>
          <w:spacing w:val="-8"/>
          <w:sz w:val="24"/>
          <w:szCs w:val="24"/>
        </w:rPr>
        <w:t xml:space="preserve"> que representam 90 % dos ativos dessas empresas desse setor</w:t>
      </w:r>
      <w:r w:rsidRPr="00C227C4">
        <w:rPr>
          <w:rFonts w:ascii="Times New Roman" w:hAnsi="Times New Roman"/>
          <w:spacing w:val="-6"/>
          <w:sz w:val="24"/>
          <w:szCs w:val="24"/>
        </w:rPr>
        <w:t>.</w:t>
      </w:r>
    </w:p>
    <w:p w:rsidR="00EC4EE8" w:rsidRDefault="00EC4EE8" w:rsidP="00C95200">
      <w:pPr>
        <w:pStyle w:val="Cabealho"/>
        <w:tabs>
          <w:tab w:val="left" w:pos="900"/>
          <w:tab w:val="left" w:pos="1440"/>
          <w:tab w:val="left" w:pos="1620"/>
        </w:tabs>
        <w:ind w:firstLine="567"/>
        <w:jc w:val="both"/>
        <w:rPr>
          <w:rFonts w:ascii="Times New Roman" w:hAnsi="Times New Roman"/>
          <w:spacing w:val="-6"/>
          <w:sz w:val="24"/>
          <w:szCs w:val="24"/>
        </w:rPr>
      </w:pPr>
    </w:p>
    <w:p w:rsidR="002C2DE4" w:rsidRPr="00FC066A" w:rsidRDefault="00D31D56" w:rsidP="00D31D56">
      <w:pPr>
        <w:numPr>
          <w:ilvl w:val="0"/>
          <w:numId w:val="3"/>
        </w:numPr>
        <w:ind w:left="284" w:hanging="284"/>
        <w:rPr>
          <w:rFonts w:ascii="Times New Roman" w:hAnsi="Times New Roman"/>
          <w:b/>
          <w:caps/>
          <w:spacing w:val="-8"/>
          <w:sz w:val="24"/>
          <w:szCs w:val="24"/>
        </w:rPr>
      </w:pPr>
      <w:r w:rsidRPr="00FC066A">
        <w:rPr>
          <w:rFonts w:ascii="Times New Roman" w:hAnsi="Times New Roman"/>
          <w:b/>
          <w:caps/>
          <w:spacing w:val="-8"/>
          <w:sz w:val="24"/>
          <w:szCs w:val="24"/>
        </w:rPr>
        <w:t>Metodologia</w:t>
      </w:r>
    </w:p>
    <w:p w:rsidR="002C2DE4" w:rsidRPr="00C91A25" w:rsidRDefault="002C2DE4" w:rsidP="00C91A25">
      <w:pPr>
        <w:pStyle w:val="PargrafodaLista"/>
        <w:tabs>
          <w:tab w:val="left" w:pos="284"/>
        </w:tabs>
        <w:spacing w:after="0" w:line="240" w:lineRule="auto"/>
        <w:jc w:val="both"/>
        <w:rPr>
          <w:rFonts w:ascii="Times New Roman" w:hAnsi="Times New Roman"/>
          <w:b/>
          <w:spacing w:val="-6"/>
          <w:sz w:val="24"/>
          <w:szCs w:val="24"/>
        </w:rPr>
      </w:pPr>
    </w:p>
    <w:p w:rsidR="00461ADE" w:rsidRPr="00167448" w:rsidRDefault="00C04451"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A</w:t>
      </w:r>
      <w:r w:rsidR="00461ADE" w:rsidRPr="00167448">
        <w:rPr>
          <w:rFonts w:ascii="Times New Roman" w:hAnsi="Times New Roman"/>
          <w:spacing w:val="-8"/>
          <w:sz w:val="24"/>
          <w:szCs w:val="24"/>
        </w:rPr>
        <w:t xml:space="preserve"> tipologia da pesquisa adotada se baseia predominantemente em uma abordagem empírico-analítica, com análise de indicadores financeiros de companhias de capital aberto listadas BM&amp;FBOVESPA.</w:t>
      </w:r>
    </w:p>
    <w:p w:rsidR="00461ADE" w:rsidRPr="00167448" w:rsidRDefault="00C04451"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 xml:space="preserve">Para responder o objetivo principal da pesquisa </w:t>
      </w:r>
      <w:r w:rsidR="00AF6CC3" w:rsidRPr="00167448">
        <w:rPr>
          <w:rFonts w:ascii="Times New Roman" w:hAnsi="Times New Roman"/>
          <w:spacing w:val="-8"/>
          <w:sz w:val="24"/>
          <w:szCs w:val="24"/>
        </w:rPr>
        <w:t xml:space="preserve">utilizou-se o </w:t>
      </w:r>
      <w:r w:rsidRPr="00167448">
        <w:rPr>
          <w:rFonts w:ascii="Times New Roman" w:hAnsi="Times New Roman"/>
          <w:spacing w:val="-8"/>
          <w:sz w:val="24"/>
          <w:szCs w:val="24"/>
        </w:rPr>
        <w:t>modelo de Regressão Logística com a finalidade de identificar as variáveis que mais impactam na probabilidade de escolha do método do Valor Justo para a mensuração das Propriedades para Investimento.</w:t>
      </w:r>
      <w:r w:rsidR="00F345DA" w:rsidRPr="00167448">
        <w:rPr>
          <w:rFonts w:ascii="Times New Roman" w:hAnsi="Times New Roman"/>
          <w:spacing w:val="-8"/>
          <w:sz w:val="24"/>
          <w:szCs w:val="24"/>
        </w:rPr>
        <w:t xml:space="preserve"> </w:t>
      </w:r>
      <w:r w:rsidR="00461ADE" w:rsidRPr="00167448">
        <w:rPr>
          <w:rFonts w:ascii="Times New Roman" w:hAnsi="Times New Roman"/>
          <w:spacing w:val="-8"/>
          <w:sz w:val="24"/>
          <w:szCs w:val="24"/>
        </w:rPr>
        <w:t>Foram analisados os dados referentes ao porte das empresas (</w:t>
      </w:r>
      <w:proofErr w:type="spellStart"/>
      <w:r w:rsidR="00461ADE" w:rsidRPr="00167448">
        <w:rPr>
          <w:rFonts w:ascii="Times New Roman" w:hAnsi="Times New Roman"/>
          <w:spacing w:val="-8"/>
          <w:sz w:val="24"/>
          <w:szCs w:val="24"/>
        </w:rPr>
        <w:t>Ln</w:t>
      </w:r>
      <w:proofErr w:type="spellEnd"/>
      <w:r w:rsidR="00461ADE" w:rsidRPr="00167448">
        <w:rPr>
          <w:rFonts w:ascii="Times New Roman" w:hAnsi="Times New Roman"/>
          <w:spacing w:val="-8"/>
          <w:sz w:val="24"/>
          <w:szCs w:val="24"/>
        </w:rPr>
        <w:t xml:space="preserve"> dos Ativos), índices de rentabilidade e endividamento, além dos históricos de resultado e pagamento de dividendos.</w:t>
      </w:r>
    </w:p>
    <w:p w:rsidR="00C95200" w:rsidRDefault="0097298B"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lastRenderedPageBreak/>
        <w:t xml:space="preserve">Segundo </w:t>
      </w:r>
      <w:proofErr w:type="spellStart"/>
      <w:r w:rsidR="00DC0BFB" w:rsidRPr="00167448">
        <w:rPr>
          <w:rFonts w:ascii="Times New Roman" w:hAnsi="Times New Roman"/>
          <w:spacing w:val="-8"/>
          <w:sz w:val="24"/>
          <w:szCs w:val="24"/>
        </w:rPr>
        <w:t>Hair</w:t>
      </w:r>
      <w:proofErr w:type="spellEnd"/>
      <w:r w:rsidR="00DC0BFB" w:rsidRPr="00167448">
        <w:rPr>
          <w:rFonts w:ascii="Times New Roman" w:hAnsi="Times New Roman"/>
          <w:spacing w:val="-8"/>
          <w:sz w:val="24"/>
          <w:szCs w:val="24"/>
        </w:rPr>
        <w:t xml:space="preserve">, Black, </w:t>
      </w:r>
      <w:proofErr w:type="spellStart"/>
      <w:r w:rsidR="00DC0BFB" w:rsidRPr="00167448">
        <w:rPr>
          <w:rFonts w:ascii="Times New Roman" w:hAnsi="Times New Roman"/>
          <w:spacing w:val="-8"/>
          <w:sz w:val="24"/>
          <w:szCs w:val="24"/>
        </w:rPr>
        <w:t>Babin</w:t>
      </w:r>
      <w:proofErr w:type="spellEnd"/>
      <w:r w:rsidR="00DC0BFB" w:rsidRPr="00167448">
        <w:rPr>
          <w:rFonts w:ascii="Times New Roman" w:hAnsi="Times New Roman"/>
          <w:spacing w:val="-8"/>
          <w:sz w:val="24"/>
          <w:szCs w:val="24"/>
        </w:rPr>
        <w:t>, Anderson e</w:t>
      </w:r>
      <w:r w:rsidR="00D87F79" w:rsidRPr="00167448">
        <w:rPr>
          <w:rFonts w:ascii="Times New Roman" w:hAnsi="Times New Roman"/>
          <w:spacing w:val="-8"/>
          <w:sz w:val="24"/>
          <w:szCs w:val="24"/>
        </w:rPr>
        <w:t xml:space="preserve"> </w:t>
      </w:r>
      <w:proofErr w:type="spellStart"/>
      <w:r w:rsidR="00D87F79" w:rsidRPr="00167448">
        <w:rPr>
          <w:rFonts w:ascii="Times New Roman" w:hAnsi="Times New Roman"/>
          <w:spacing w:val="-8"/>
          <w:sz w:val="24"/>
          <w:szCs w:val="24"/>
        </w:rPr>
        <w:t>Tatham</w:t>
      </w:r>
      <w:proofErr w:type="spellEnd"/>
      <w:r w:rsidR="00F85A8F" w:rsidRPr="00167448">
        <w:rPr>
          <w:rFonts w:ascii="Times New Roman" w:hAnsi="Times New Roman"/>
          <w:spacing w:val="-8"/>
          <w:sz w:val="24"/>
          <w:szCs w:val="24"/>
        </w:rPr>
        <w:t xml:space="preserve"> </w:t>
      </w:r>
      <w:r w:rsidRPr="00167448">
        <w:rPr>
          <w:rFonts w:ascii="Times New Roman" w:hAnsi="Times New Roman"/>
          <w:spacing w:val="-8"/>
          <w:sz w:val="24"/>
          <w:szCs w:val="24"/>
        </w:rPr>
        <w:t>(2009), a</w:t>
      </w:r>
      <w:r w:rsidR="00C95200" w:rsidRPr="00167448">
        <w:rPr>
          <w:rFonts w:ascii="Times New Roman" w:hAnsi="Times New Roman"/>
          <w:spacing w:val="-8"/>
          <w:sz w:val="24"/>
          <w:szCs w:val="24"/>
        </w:rPr>
        <w:t xml:space="preserve"> regressão logística é uma forma especializada de regressão, formulada para prever e explicar uma variável categórica binária (dois grupos), e não uma medida dependente numérica.</w:t>
      </w:r>
    </w:p>
    <w:p w:rsidR="00C95200" w:rsidRPr="00C91A25" w:rsidRDefault="00C95200" w:rsidP="00167448">
      <w:pPr>
        <w:ind w:firstLine="709"/>
        <w:jc w:val="both"/>
        <w:rPr>
          <w:rFonts w:ascii="Times New Roman" w:hAnsi="Times New Roman"/>
          <w:bCs/>
          <w:sz w:val="24"/>
          <w:szCs w:val="24"/>
        </w:rPr>
      </w:pPr>
      <w:r w:rsidRPr="00167448">
        <w:rPr>
          <w:rFonts w:ascii="Times New Roman" w:hAnsi="Times New Roman"/>
          <w:spacing w:val="-8"/>
          <w:sz w:val="24"/>
          <w:szCs w:val="24"/>
        </w:rPr>
        <w:t xml:space="preserve">Para Fávero et al. (2009) é uma técnica estatística utilizada para descrever o comportamento entre uma variável dependente binária e variáveis independentes métricas ou não métricas, investigando-se o efeito das variáveis pelas quais os indivíduos, objetos ou sujeitos estão expostos sobre a probabilidade de ocorrência. Destacaram que esta técnica </w:t>
      </w:r>
      <w:r w:rsidR="00E4064E" w:rsidRPr="00167448">
        <w:rPr>
          <w:rFonts w:ascii="Times New Roman" w:hAnsi="Times New Roman"/>
          <w:spacing w:val="-8"/>
          <w:sz w:val="24"/>
          <w:szCs w:val="24"/>
        </w:rPr>
        <w:t>se</w:t>
      </w:r>
      <w:r w:rsidR="00E4064E" w:rsidRPr="00C91A25">
        <w:rPr>
          <w:rFonts w:ascii="Times New Roman" w:hAnsi="Times New Roman"/>
          <w:bCs/>
          <w:sz w:val="24"/>
          <w:szCs w:val="24"/>
        </w:rPr>
        <w:t xml:space="preserve"> destina</w:t>
      </w:r>
      <w:r w:rsidRPr="00C91A25">
        <w:rPr>
          <w:rFonts w:ascii="Times New Roman" w:hAnsi="Times New Roman"/>
          <w:bCs/>
          <w:sz w:val="24"/>
          <w:szCs w:val="24"/>
        </w:rPr>
        <w:t xml:space="preserve"> a identificação de variáveis mais significativas para a previsão da ocorrência de determinados eventos de interesse, provendo a probabilidade de sua ocorrência.</w:t>
      </w:r>
    </w:p>
    <w:p w:rsidR="00C95200" w:rsidRPr="00167448" w:rsidRDefault="00C95200"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 xml:space="preserve">Ainda Fávero et al. (2009) ressaltaram que a regressão logística não pressupõe a existência de homogeneidade de variância e normalidade dos resíduos. Porém assume-se as seguintes premissas: I - relação linear entre o vetor das variáveis explicativas “X” e a variável dependente “Y”; II - valor esperado dos resíduos é igual zero; III - Ausência </w:t>
      </w:r>
      <w:proofErr w:type="spellStart"/>
      <w:r w:rsidRPr="00167448">
        <w:rPr>
          <w:rFonts w:ascii="Times New Roman" w:hAnsi="Times New Roman"/>
          <w:spacing w:val="-8"/>
          <w:sz w:val="24"/>
          <w:szCs w:val="24"/>
        </w:rPr>
        <w:t>heterocedasticidade</w:t>
      </w:r>
      <w:proofErr w:type="spellEnd"/>
      <w:r w:rsidRPr="00167448">
        <w:rPr>
          <w:rFonts w:ascii="Times New Roman" w:hAnsi="Times New Roman"/>
          <w:spacing w:val="-8"/>
          <w:sz w:val="24"/>
          <w:szCs w:val="24"/>
        </w:rPr>
        <w:t xml:space="preserve">; e IV - Ausência de </w:t>
      </w:r>
      <w:proofErr w:type="spellStart"/>
      <w:r w:rsidRPr="00167448">
        <w:rPr>
          <w:rFonts w:ascii="Times New Roman" w:hAnsi="Times New Roman"/>
          <w:spacing w:val="-8"/>
          <w:sz w:val="24"/>
          <w:szCs w:val="24"/>
        </w:rPr>
        <w:t>multicolinearidade</w:t>
      </w:r>
      <w:proofErr w:type="spellEnd"/>
      <w:r w:rsidRPr="00167448">
        <w:rPr>
          <w:rFonts w:ascii="Times New Roman" w:hAnsi="Times New Roman"/>
          <w:spacing w:val="-8"/>
          <w:sz w:val="24"/>
          <w:szCs w:val="24"/>
        </w:rPr>
        <w:t>.</w:t>
      </w:r>
    </w:p>
    <w:p w:rsidR="00C95200" w:rsidRPr="00167448" w:rsidRDefault="00C95200"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Fávero et al. (2009</w:t>
      </w:r>
      <w:r w:rsidR="00E4064E" w:rsidRPr="00167448">
        <w:rPr>
          <w:rFonts w:ascii="Times New Roman" w:hAnsi="Times New Roman"/>
          <w:spacing w:val="-8"/>
          <w:sz w:val="24"/>
          <w:szCs w:val="24"/>
        </w:rPr>
        <w:t>, p. 441</w:t>
      </w:r>
      <w:r w:rsidRPr="00167448">
        <w:rPr>
          <w:rFonts w:ascii="Times New Roman" w:hAnsi="Times New Roman"/>
          <w:spacing w:val="-8"/>
          <w:sz w:val="24"/>
          <w:szCs w:val="24"/>
        </w:rPr>
        <w:t>) afirmam que simplificadamente a função f (Z) pode ser entendida como a probabilidade de a variável dependente ser igual a “1”, dado o comportamento das variáveis explicativas X1, X</w:t>
      </w:r>
      <w:proofErr w:type="gramStart"/>
      <w:r w:rsidRPr="00167448">
        <w:rPr>
          <w:rFonts w:ascii="Times New Roman" w:hAnsi="Times New Roman"/>
          <w:spacing w:val="-8"/>
          <w:sz w:val="24"/>
          <w:szCs w:val="24"/>
        </w:rPr>
        <w:t>2,...</w:t>
      </w:r>
      <w:proofErr w:type="gramEnd"/>
      <w:r w:rsidRPr="00167448">
        <w:rPr>
          <w:rFonts w:ascii="Times New Roman" w:hAnsi="Times New Roman"/>
          <w:spacing w:val="-8"/>
          <w:sz w:val="24"/>
          <w:szCs w:val="24"/>
        </w:rPr>
        <w:t xml:space="preserve">, </w:t>
      </w:r>
      <w:proofErr w:type="spellStart"/>
      <w:r w:rsidRPr="00167448">
        <w:rPr>
          <w:rFonts w:ascii="Times New Roman" w:hAnsi="Times New Roman"/>
          <w:spacing w:val="-8"/>
          <w:sz w:val="24"/>
          <w:szCs w:val="24"/>
        </w:rPr>
        <w:t>Xk</w:t>
      </w:r>
      <w:proofErr w:type="spellEnd"/>
      <w:r w:rsidRPr="00167448">
        <w:rPr>
          <w:rFonts w:ascii="Times New Roman" w:hAnsi="Times New Roman"/>
          <w:spacing w:val="-8"/>
          <w:sz w:val="24"/>
          <w:szCs w:val="24"/>
        </w:rPr>
        <w:t>. A função pode ser representada matematicamente como segue:</w:t>
      </w:r>
    </w:p>
    <w:p w:rsidR="00C95200" w:rsidRPr="00C91A25" w:rsidRDefault="00C95200" w:rsidP="00C95200">
      <w:pPr>
        <w:ind w:firstLine="567"/>
        <w:jc w:val="both"/>
        <w:rPr>
          <w:rFonts w:ascii="Times New Roman" w:hAnsi="Times New Roman"/>
          <w:bCs/>
          <w:sz w:val="24"/>
          <w:szCs w:val="24"/>
        </w:rPr>
      </w:pPr>
    </w:p>
    <w:p w:rsidR="00C95200" w:rsidRPr="00275F5B" w:rsidRDefault="00E843F1" w:rsidP="00167448">
      <w:pPr>
        <w:ind w:firstLine="709"/>
        <w:jc w:val="both"/>
        <w:rPr>
          <w:rFonts w:ascii="Times New Roman" w:hAnsi="Times New Roman"/>
          <w:bCs/>
          <w:sz w:val="24"/>
          <w:szCs w:val="24"/>
        </w:rPr>
      </w:pPr>
      <w:r w:rsidRPr="00343BAE">
        <w:rPr>
          <w:rFonts w:ascii="Times New Roman" w:hAnsi="Times New Roman"/>
          <w:bCs/>
          <w:noProof/>
          <w:position w:val="-30"/>
          <w:sz w:val="24"/>
          <w:szCs w:val="24"/>
        </w:rPr>
        <w:object w:dxaOrig="46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36pt" o:ole="">
            <v:imagedata r:id="rId8" o:title=""/>
          </v:shape>
          <o:OLEObject Type="Embed" ProgID="Equation.3" ShapeID="_x0000_i1025" DrawAspect="Content" ObjectID="_1620742255" r:id="rId9"/>
        </w:object>
      </w:r>
      <w:r w:rsidR="00C95200" w:rsidRPr="00275F5B">
        <w:rPr>
          <w:rFonts w:ascii="Times New Roman" w:hAnsi="Times New Roman"/>
          <w:bCs/>
          <w:sz w:val="24"/>
          <w:szCs w:val="24"/>
        </w:rPr>
        <w:t xml:space="preserve">     </w:t>
      </w:r>
      <w:r w:rsidR="00C95200" w:rsidRPr="00275F5B">
        <w:rPr>
          <w:rFonts w:ascii="Times New Roman" w:hAnsi="Times New Roman"/>
          <w:bCs/>
          <w:sz w:val="24"/>
          <w:szCs w:val="24"/>
        </w:rPr>
        <w:tab/>
        <w:t>(1)</w:t>
      </w:r>
    </w:p>
    <w:p w:rsidR="00C95200" w:rsidRPr="00C91A25" w:rsidRDefault="00C95200" w:rsidP="00C95200">
      <w:pPr>
        <w:ind w:firstLine="567"/>
        <w:jc w:val="center"/>
        <w:rPr>
          <w:rFonts w:ascii="Times New Roman" w:hAnsi="Times New Roman"/>
          <w:color w:val="000000"/>
          <w:spacing w:val="-6"/>
          <w:sz w:val="24"/>
          <w:szCs w:val="24"/>
        </w:rPr>
      </w:pPr>
      <w:r w:rsidRPr="00C91A25">
        <w:rPr>
          <w:rFonts w:ascii="Times New Roman" w:hAnsi="Times New Roman"/>
          <w:color w:val="000000"/>
          <w:spacing w:val="-6"/>
          <w:sz w:val="24"/>
          <w:szCs w:val="24"/>
        </w:rPr>
        <w:t>Sendo:</w:t>
      </w:r>
    </w:p>
    <w:p w:rsidR="00C95200" w:rsidRPr="00275F5B" w:rsidRDefault="00C95200" w:rsidP="00C95200">
      <w:pPr>
        <w:ind w:left="709" w:firstLine="567"/>
        <w:jc w:val="both"/>
        <w:rPr>
          <w:rFonts w:ascii="Times New Roman" w:hAnsi="Times New Roman"/>
          <w:b/>
          <w:bCs/>
          <w:spacing w:val="-6"/>
          <w:sz w:val="24"/>
          <w:szCs w:val="24"/>
        </w:rPr>
      </w:pPr>
    </w:p>
    <w:p w:rsidR="00C95200" w:rsidRPr="00F345DA" w:rsidRDefault="00C95200" w:rsidP="00167448">
      <w:pPr>
        <w:ind w:firstLine="709"/>
        <w:jc w:val="both"/>
        <w:rPr>
          <w:rFonts w:ascii="Times New Roman" w:hAnsi="Times New Roman"/>
          <w:b/>
          <w:bCs/>
          <w:spacing w:val="-6"/>
          <w:sz w:val="24"/>
          <w:szCs w:val="24"/>
        </w:rPr>
      </w:pPr>
      <w:r w:rsidRPr="00343BAE">
        <w:rPr>
          <w:rFonts w:ascii="Times New Roman" w:hAnsi="Times New Roman"/>
          <w:b/>
          <w:bCs/>
          <w:spacing w:val="-6"/>
          <w:sz w:val="24"/>
          <w:szCs w:val="24"/>
        </w:rPr>
        <w:t>Y</w:t>
      </w:r>
      <w:r w:rsidRPr="00343BAE">
        <w:rPr>
          <w:rFonts w:ascii="Times New Roman" w:hAnsi="Times New Roman"/>
          <w:bCs/>
          <w:spacing w:val="-6"/>
          <w:sz w:val="24"/>
          <w:szCs w:val="24"/>
        </w:rPr>
        <w:t>= Variável Dependente (</w:t>
      </w:r>
      <w:r w:rsidRPr="00DC0672">
        <w:rPr>
          <w:rFonts w:ascii="Times New Roman" w:hAnsi="Times New Roman"/>
          <w:bCs/>
          <w:i/>
          <w:spacing w:val="-6"/>
          <w:sz w:val="24"/>
          <w:szCs w:val="24"/>
        </w:rPr>
        <w:t>dummy</w:t>
      </w:r>
      <w:r w:rsidRPr="00DC0672">
        <w:rPr>
          <w:rFonts w:ascii="Times New Roman" w:hAnsi="Times New Roman"/>
          <w:bCs/>
          <w:spacing w:val="-6"/>
          <w:sz w:val="24"/>
          <w:szCs w:val="24"/>
        </w:rPr>
        <w:t>); 1 – Valor Justo; 0 – Custo.</w:t>
      </w:r>
    </w:p>
    <w:p w:rsidR="00C95200" w:rsidRPr="00A57572" w:rsidRDefault="00C95200" w:rsidP="00167448">
      <w:pPr>
        <w:ind w:firstLine="709"/>
        <w:jc w:val="both"/>
        <w:rPr>
          <w:rFonts w:ascii="Times New Roman" w:hAnsi="Times New Roman"/>
          <w:bCs/>
          <w:spacing w:val="-6"/>
          <w:sz w:val="24"/>
          <w:szCs w:val="24"/>
        </w:rPr>
      </w:pPr>
      <w:r w:rsidRPr="00A57572">
        <w:rPr>
          <w:rFonts w:ascii="Times New Roman" w:hAnsi="Times New Roman"/>
          <w:b/>
          <w:bCs/>
          <w:spacing w:val="-6"/>
          <w:sz w:val="24"/>
          <w:szCs w:val="24"/>
        </w:rPr>
        <w:t>P=</w:t>
      </w:r>
      <w:r w:rsidRPr="00A57572">
        <w:rPr>
          <w:rFonts w:ascii="Times New Roman" w:hAnsi="Times New Roman"/>
          <w:bCs/>
          <w:spacing w:val="-6"/>
          <w:sz w:val="24"/>
          <w:szCs w:val="24"/>
        </w:rPr>
        <w:t xml:space="preserve"> Probabilidade da empresa definir a Política Contábil do Valor justo para a mensuração das Propriedades para Investimento.</w:t>
      </w:r>
    </w:p>
    <w:p w:rsidR="00C95200" w:rsidRPr="00A93188" w:rsidRDefault="00C95200" w:rsidP="00167448">
      <w:pPr>
        <w:ind w:firstLine="709"/>
        <w:jc w:val="both"/>
        <w:rPr>
          <w:rFonts w:ascii="Times New Roman" w:hAnsi="Times New Roman"/>
          <w:bCs/>
          <w:spacing w:val="-6"/>
          <w:sz w:val="24"/>
          <w:szCs w:val="24"/>
        </w:rPr>
      </w:pPr>
      <w:r w:rsidRPr="00C02B2B">
        <w:rPr>
          <w:rFonts w:ascii="Times New Roman" w:hAnsi="Times New Roman"/>
          <w:b/>
          <w:bCs/>
          <w:spacing w:val="-6"/>
          <w:sz w:val="24"/>
          <w:szCs w:val="24"/>
        </w:rPr>
        <w:t>X</w:t>
      </w:r>
      <w:r w:rsidRPr="00C02B2B">
        <w:rPr>
          <w:rFonts w:ascii="Times New Roman" w:hAnsi="Times New Roman"/>
          <w:bCs/>
          <w:spacing w:val="-6"/>
          <w:sz w:val="24"/>
          <w:szCs w:val="24"/>
        </w:rPr>
        <w:t xml:space="preserve">= Variáveis Independentes (Descritas </w:t>
      </w:r>
      <w:r w:rsidR="00E4064E" w:rsidRPr="00A93188">
        <w:rPr>
          <w:rFonts w:ascii="Times New Roman" w:hAnsi="Times New Roman"/>
          <w:bCs/>
          <w:spacing w:val="-6"/>
          <w:sz w:val="24"/>
          <w:szCs w:val="24"/>
        </w:rPr>
        <w:t>na Tabela 2</w:t>
      </w:r>
      <w:r w:rsidRPr="00A93188">
        <w:rPr>
          <w:rFonts w:ascii="Times New Roman" w:hAnsi="Times New Roman"/>
          <w:bCs/>
          <w:spacing w:val="-6"/>
          <w:sz w:val="24"/>
          <w:szCs w:val="24"/>
        </w:rPr>
        <w:t>).</w:t>
      </w:r>
    </w:p>
    <w:p w:rsidR="00C95200" w:rsidRPr="00343BAE" w:rsidRDefault="00C95200" w:rsidP="00167448">
      <w:pPr>
        <w:ind w:firstLine="709"/>
        <w:jc w:val="both"/>
        <w:rPr>
          <w:rFonts w:ascii="Times New Roman" w:hAnsi="Times New Roman"/>
          <w:bCs/>
          <w:spacing w:val="-6"/>
          <w:sz w:val="24"/>
          <w:szCs w:val="24"/>
        </w:rPr>
      </w:pPr>
      <w:r w:rsidRPr="007B0D92">
        <w:rPr>
          <w:rFonts w:ascii="Times New Roman" w:hAnsi="Times New Roman"/>
          <w:b/>
          <w:bCs/>
          <w:spacing w:val="-6"/>
          <w:sz w:val="24"/>
          <w:szCs w:val="24"/>
        </w:rPr>
        <w:t xml:space="preserve">β e </w:t>
      </w:r>
      <w:r w:rsidRPr="00275F5B">
        <w:rPr>
          <w:rFonts w:ascii="Times New Roman" w:hAnsi="Times New Roman"/>
          <w:b/>
          <w:bCs/>
          <w:spacing w:val="-6"/>
          <w:sz w:val="24"/>
          <w:szCs w:val="24"/>
        </w:rPr>
        <w:sym w:font="Symbol" w:char="F061"/>
      </w:r>
      <w:r w:rsidRPr="00275F5B">
        <w:rPr>
          <w:rFonts w:ascii="Times New Roman" w:hAnsi="Times New Roman"/>
          <w:b/>
          <w:bCs/>
          <w:spacing w:val="-6"/>
          <w:sz w:val="24"/>
          <w:szCs w:val="24"/>
        </w:rPr>
        <w:t>=</w:t>
      </w:r>
      <w:r w:rsidRPr="00275F5B">
        <w:rPr>
          <w:rFonts w:ascii="Times New Roman" w:hAnsi="Times New Roman"/>
          <w:bCs/>
          <w:spacing w:val="-6"/>
          <w:sz w:val="24"/>
          <w:szCs w:val="24"/>
        </w:rPr>
        <w:t xml:space="preserve"> Parâmetros do Modelo.</w:t>
      </w:r>
    </w:p>
    <w:p w:rsidR="00AF6CC3" w:rsidRPr="00DC0672" w:rsidRDefault="00AF6CC3" w:rsidP="00C95200">
      <w:pPr>
        <w:ind w:firstLine="567"/>
        <w:jc w:val="both"/>
        <w:rPr>
          <w:rFonts w:ascii="Times New Roman" w:hAnsi="Times New Roman"/>
          <w:bCs/>
          <w:spacing w:val="-6"/>
          <w:sz w:val="24"/>
          <w:szCs w:val="24"/>
        </w:rPr>
      </w:pPr>
    </w:p>
    <w:p w:rsidR="00AF6CC3" w:rsidRDefault="00AF6CC3"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Para identificar se há diferença na política de distribuição de dividendos e juros sobre capital próprio entre as empresas que adotam o valor justo em contraposição às empresas que optam pelo método de custo foi realizado o teste de Mann-Whitney. Trata-se de um teste não paramétrico destinado a verificar se duas amostras independentes provem de populações com médias iguais, em nível de significância pré-estabelecido (Fávero et al.,2009). As hipóteses testadas foram:</w:t>
      </w:r>
    </w:p>
    <w:p w:rsidR="00167448" w:rsidRPr="00167448" w:rsidRDefault="00167448" w:rsidP="00167448">
      <w:pPr>
        <w:ind w:firstLine="709"/>
        <w:jc w:val="both"/>
        <w:rPr>
          <w:rFonts w:ascii="Times New Roman" w:hAnsi="Times New Roman"/>
          <w:spacing w:val="-8"/>
          <w:sz w:val="24"/>
          <w:szCs w:val="24"/>
        </w:rPr>
      </w:pPr>
    </w:p>
    <w:p w:rsidR="00AF6CC3" w:rsidRPr="00275F5B" w:rsidRDefault="00AF6CC3" w:rsidP="00AF6CC3">
      <w:pPr>
        <w:ind w:firstLine="567"/>
        <w:jc w:val="center"/>
        <w:rPr>
          <w:rFonts w:ascii="Times New Roman" w:hAnsi="Times New Roman"/>
          <w:bCs/>
          <w:sz w:val="24"/>
          <w:szCs w:val="24"/>
          <w:vertAlign w:val="subscript"/>
        </w:rPr>
      </w:pPr>
      <w:r w:rsidRPr="00C02B2B">
        <w:rPr>
          <w:rFonts w:ascii="Times New Roman" w:hAnsi="Times New Roman"/>
          <w:bCs/>
          <w:sz w:val="24"/>
          <w:szCs w:val="24"/>
        </w:rPr>
        <w:t>H</w:t>
      </w:r>
      <w:r w:rsidRPr="00C02B2B">
        <w:rPr>
          <w:rFonts w:ascii="Times New Roman" w:hAnsi="Times New Roman"/>
          <w:bCs/>
          <w:sz w:val="24"/>
          <w:szCs w:val="24"/>
          <w:vertAlign w:val="subscript"/>
        </w:rPr>
        <w:t>0</w:t>
      </w:r>
      <w:r w:rsidRPr="00A93188">
        <w:rPr>
          <w:rFonts w:ascii="Times New Roman" w:hAnsi="Times New Roman"/>
          <w:bCs/>
          <w:sz w:val="24"/>
          <w:szCs w:val="24"/>
        </w:rPr>
        <w:t xml:space="preserve"> = </w:t>
      </w:r>
      <w:r w:rsidRPr="00275F5B">
        <w:rPr>
          <w:rFonts w:ascii="Times New Roman" w:hAnsi="Times New Roman"/>
          <w:bCs/>
          <w:sz w:val="24"/>
          <w:szCs w:val="24"/>
        </w:rPr>
        <w:sym w:font="Symbol" w:char="F06D"/>
      </w:r>
      <w:r w:rsidRPr="00275F5B">
        <w:rPr>
          <w:rFonts w:ascii="Times New Roman" w:hAnsi="Times New Roman"/>
          <w:bCs/>
          <w:sz w:val="24"/>
          <w:szCs w:val="24"/>
          <w:vertAlign w:val="subscript"/>
        </w:rPr>
        <w:t xml:space="preserve">%Dividendos/JCP_Método Valor Justo = </w:t>
      </w:r>
      <w:r w:rsidRPr="00275F5B">
        <w:rPr>
          <w:rFonts w:ascii="Times New Roman" w:hAnsi="Times New Roman"/>
          <w:bCs/>
          <w:sz w:val="24"/>
          <w:szCs w:val="24"/>
        </w:rPr>
        <w:sym w:font="Symbol" w:char="F06D"/>
      </w:r>
      <w:r w:rsidRPr="00275F5B">
        <w:rPr>
          <w:rFonts w:ascii="Times New Roman" w:hAnsi="Times New Roman"/>
          <w:bCs/>
          <w:sz w:val="24"/>
          <w:szCs w:val="24"/>
          <w:vertAlign w:val="subscript"/>
        </w:rPr>
        <w:t>%Dividendos/JCP_Método Custo</w:t>
      </w:r>
    </w:p>
    <w:p w:rsidR="00AF6CC3" w:rsidRPr="00343BAE" w:rsidRDefault="00AF6CC3" w:rsidP="00AF6CC3">
      <w:pPr>
        <w:ind w:firstLine="567"/>
        <w:jc w:val="center"/>
        <w:rPr>
          <w:rFonts w:ascii="Times New Roman" w:hAnsi="Times New Roman"/>
          <w:bCs/>
          <w:sz w:val="24"/>
          <w:szCs w:val="24"/>
        </w:rPr>
      </w:pPr>
      <w:r w:rsidRPr="00343BAE">
        <w:rPr>
          <w:rFonts w:ascii="Times New Roman" w:hAnsi="Times New Roman"/>
          <w:bCs/>
          <w:sz w:val="24"/>
          <w:szCs w:val="24"/>
        </w:rPr>
        <w:t>H</w:t>
      </w:r>
      <w:r w:rsidRPr="00343BAE">
        <w:rPr>
          <w:rFonts w:ascii="Times New Roman" w:hAnsi="Times New Roman"/>
          <w:bCs/>
          <w:sz w:val="24"/>
          <w:szCs w:val="24"/>
          <w:vertAlign w:val="subscript"/>
        </w:rPr>
        <w:t>1</w:t>
      </w:r>
      <w:r w:rsidRPr="00DC0672">
        <w:rPr>
          <w:rFonts w:ascii="Times New Roman" w:hAnsi="Times New Roman"/>
          <w:bCs/>
          <w:sz w:val="24"/>
          <w:szCs w:val="24"/>
        </w:rPr>
        <w:t xml:space="preserve"> = </w:t>
      </w:r>
      <w:r w:rsidRPr="00275F5B">
        <w:rPr>
          <w:rFonts w:ascii="Times New Roman" w:hAnsi="Times New Roman"/>
          <w:bCs/>
          <w:sz w:val="24"/>
          <w:szCs w:val="24"/>
        </w:rPr>
        <w:sym w:font="Symbol" w:char="F06D"/>
      </w:r>
      <w:r w:rsidRPr="00275F5B">
        <w:rPr>
          <w:rFonts w:ascii="Times New Roman" w:hAnsi="Times New Roman"/>
          <w:bCs/>
          <w:sz w:val="24"/>
          <w:szCs w:val="24"/>
          <w:vertAlign w:val="subscript"/>
        </w:rPr>
        <w:t xml:space="preserve">%Dividendos/JCP_Método Valor Justo </w:t>
      </w:r>
      <w:r w:rsidRPr="00275F5B">
        <w:rPr>
          <w:rFonts w:ascii="Times New Roman" w:hAnsi="Times New Roman"/>
          <w:bCs/>
          <w:sz w:val="24"/>
          <w:szCs w:val="24"/>
          <w:vertAlign w:val="subscript"/>
        </w:rPr>
        <w:sym w:font="Symbol" w:char="F0B9"/>
      </w:r>
      <w:r w:rsidRPr="00275F5B">
        <w:rPr>
          <w:rFonts w:ascii="Times New Roman" w:hAnsi="Times New Roman"/>
          <w:bCs/>
          <w:sz w:val="24"/>
          <w:szCs w:val="24"/>
          <w:vertAlign w:val="subscript"/>
        </w:rPr>
        <w:t xml:space="preserve"> </w:t>
      </w:r>
      <w:r w:rsidRPr="00275F5B">
        <w:rPr>
          <w:rFonts w:ascii="Times New Roman" w:hAnsi="Times New Roman"/>
          <w:bCs/>
          <w:sz w:val="24"/>
          <w:szCs w:val="24"/>
        </w:rPr>
        <w:sym w:font="Symbol" w:char="F06D"/>
      </w:r>
      <w:r w:rsidRPr="00275F5B">
        <w:rPr>
          <w:rFonts w:ascii="Times New Roman" w:hAnsi="Times New Roman"/>
          <w:bCs/>
          <w:sz w:val="24"/>
          <w:szCs w:val="24"/>
          <w:vertAlign w:val="subscript"/>
        </w:rPr>
        <w:t>%Dividendos/JCP_Método Custo</w:t>
      </w:r>
    </w:p>
    <w:p w:rsidR="00AF6CC3" w:rsidRDefault="00AF6CC3" w:rsidP="00167448">
      <w:pPr>
        <w:ind w:firstLine="709"/>
        <w:jc w:val="both"/>
        <w:rPr>
          <w:rFonts w:ascii="Times New Roman" w:hAnsi="Times New Roman"/>
          <w:bCs/>
          <w:spacing w:val="-6"/>
          <w:sz w:val="24"/>
          <w:szCs w:val="24"/>
        </w:rPr>
      </w:pPr>
    </w:p>
    <w:p w:rsidR="00C95200" w:rsidRPr="00C91A25" w:rsidRDefault="00C95200" w:rsidP="00C95200">
      <w:pPr>
        <w:rPr>
          <w:rFonts w:ascii="Times New Roman" w:hAnsi="Times New Roman"/>
          <w:b/>
          <w:iCs/>
          <w:sz w:val="24"/>
          <w:szCs w:val="24"/>
        </w:rPr>
      </w:pPr>
      <w:r w:rsidRPr="00C91A25">
        <w:rPr>
          <w:rFonts w:ascii="Times New Roman" w:hAnsi="Times New Roman"/>
          <w:b/>
          <w:iCs/>
          <w:sz w:val="24"/>
          <w:szCs w:val="24"/>
        </w:rPr>
        <w:t>3.1 - Seleção da Amostra</w:t>
      </w:r>
    </w:p>
    <w:p w:rsidR="0038040F" w:rsidRPr="00DC0672" w:rsidRDefault="0038040F" w:rsidP="00C95200">
      <w:pPr>
        <w:rPr>
          <w:rFonts w:ascii="Times New Roman" w:hAnsi="Times New Roman"/>
          <w:b/>
          <w:sz w:val="24"/>
          <w:szCs w:val="24"/>
        </w:rPr>
      </w:pPr>
    </w:p>
    <w:p w:rsidR="00C95200" w:rsidRPr="00167448" w:rsidRDefault="00C95200"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 xml:space="preserve">Em julho de 2016, o Segmento de Exploração de Imóveis forneceu uma relação de </w:t>
      </w:r>
      <w:r w:rsidR="0038040F" w:rsidRPr="00167448">
        <w:rPr>
          <w:rFonts w:ascii="Times New Roman" w:hAnsi="Times New Roman"/>
          <w:spacing w:val="-8"/>
          <w:sz w:val="24"/>
          <w:szCs w:val="24"/>
        </w:rPr>
        <w:br w:type="textWrapping" w:clear="all"/>
      </w:r>
      <w:r w:rsidRPr="00167448">
        <w:rPr>
          <w:rFonts w:ascii="Times New Roman" w:hAnsi="Times New Roman"/>
          <w:spacing w:val="-8"/>
          <w:sz w:val="24"/>
          <w:szCs w:val="24"/>
        </w:rPr>
        <w:t>12 empresas listadas na BM&amp;FBOVESPA. Foram escolhidas empresas que possuíam Propriedades para Investimento no Período de 2010 a 2015. Para atender ao requisito foram consultadas as notas explicativas das Demonstrações Financeiras, publicadas no site da BM&amp;FBOVESPA, de cada uma dessas empresas para verificar a existência de Propriedades para Investimento em seus Balanços e a Política Contábil para a sua mensuração.</w:t>
      </w:r>
    </w:p>
    <w:p w:rsidR="00C95200" w:rsidRPr="00167448" w:rsidRDefault="00C95200" w:rsidP="00167448">
      <w:pPr>
        <w:ind w:firstLine="709"/>
        <w:jc w:val="both"/>
        <w:rPr>
          <w:rFonts w:ascii="Times New Roman" w:hAnsi="Times New Roman"/>
          <w:spacing w:val="-8"/>
          <w:sz w:val="24"/>
          <w:szCs w:val="24"/>
        </w:rPr>
      </w:pPr>
      <w:r w:rsidRPr="00167448">
        <w:rPr>
          <w:rFonts w:ascii="Times New Roman" w:hAnsi="Times New Roman"/>
          <w:spacing w:val="-8"/>
          <w:sz w:val="24"/>
          <w:szCs w:val="24"/>
        </w:rPr>
        <w:t xml:space="preserve">Do total de 12 empresas, duas foram excluídas devido a inexistência de Propriedades para Investimento. Sendo assim, foram identificadas 10 empresas que se enquadraram no critério, conforme demonstrado </w:t>
      </w:r>
      <w:r w:rsidR="00D23005" w:rsidRPr="00167448">
        <w:rPr>
          <w:rFonts w:ascii="Times New Roman" w:hAnsi="Times New Roman"/>
          <w:spacing w:val="-8"/>
          <w:sz w:val="24"/>
          <w:szCs w:val="24"/>
        </w:rPr>
        <w:t>na Tabela</w:t>
      </w:r>
      <w:r w:rsidRPr="00167448">
        <w:rPr>
          <w:rFonts w:ascii="Times New Roman" w:hAnsi="Times New Roman"/>
          <w:spacing w:val="-8"/>
          <w:sz w:val="24"/>
          <w:szCs w:val="24"/>
        </w:rPr>
        <w:t xml:space="preserve"> 1.</w:t>
      </w:r>
    </w:p>
    <w:p w:rsidR="00EA5146" w:rsidRDefault="00EA5146" w:rsidP="00167448">
      <w:pPr>
        <w:ind w:firstLine="709"/>
        <w:jc w:val="both"/>
        <w:rPr>
          <w:rFonts w:ascii="Times New Roman" w:hAnsi="Times New Roman"/>
          <w:spacing w:val="-8"/>
          <w:sz w:val="24"/>
          <w:szCs w:val="24"/>
        </w:rPr>
      </w:pPr>
    </w:p>
    <w:p w:rsidR="00737B3C" w:rsidRDefault="00737B3C" w:rsidP="00167448">
      <w:pPr>
        <w:ind w:firstLine="709"/>
        <w:jc w:val="both"/>
        <w:rPr>
          <w:rFonts w:ascii="Times New Roman" w:hAnsi="Times New Roman"/>
          <w:spacing w:val="-8"/>
          <w:sz w:val="24"/>
          <w:szCs w:val="24"/>
        </w:rPr>
      </w:pPr>
    </w:p>
    <w:p w:rsidR="00EB7484" w:rsidRDefault="00D23005" w:rsidP="00EB7484">
      <w:pPr>
        <w:tabs>
          <w:tab w:val="left" w:pos="426"/>
        </w:tabs>
        <w:jc w:val="center"/>
        <w:rPr>
          <w:rFonts w:ascii="Times New Roman" w:hAnsi="Times New Roman"/>
          <w:b/>
          <w:spacing w:val="-8"/>
          <w:sz w:val="20"/>
          <w:szCs w:val="20"/>
        </w:rPr>
      </w:pPr>
      <w:r w:rsidRPr="00A57572">
        <w:rPr>
          <w:rFonts w:ascii="Times New Roman" w:hAnsi="Times New Roman"/>
          <w:b/>
          <w:spacing w:val="-8"/>
          <w:sz w:val="20"/>
          <w:szCs w:val="20"/>
        </w:rPr>
        <w:t>Tabela</w:t>
      </w:r>
      <w:r w:rsidR="00EB7484">
        <w:rPr>
          <w:rFonts w:ascii="Times New Roman" w:hAnsi="Times New Roman"/>
          <w:b/>
          <w:spacing w:val="-8"/>
          <w:sz w:val="20"/>
          <w:szCs w:val="20"/>
        </w:rPr>
        <w:t xml:space="preserve"> 1</w:t>
      </w:r>
    </w:p>
    <w:p w:rsidR="00EA5146" w:rsidRPr="00C02B2B" w:rsidRDefault="00C95200" w:rsidP="00EB7484">
      <w:pPr>
        <w:tabs>
          <w:tab w:val="left" w:pos="426"/>
        </w:tabs>
        <w:jc w:val="center"/>
        <w:rPr>
          <w:rFonts w:ascii="Times New Roman" w:hAnsi="Times New Roman"/>
          <w:b/>
          <w:spacing w:val="-8"/>
          <w:sz w:val="20"/>
          <w:szCs w:val="20"/>
        </w:rPr>
      </w:pPr>
      <w:r w:rsidRPr="00EB7484">
        <w:rPr>
          <w:rFonts w:ascii="Times New Roman" w:hAnsi="Times New Roman"/>
          <w:spacing w:val="-8"/>
          <w:sz w:val="20"/>
          <w:szCs w:val="20"/>
        </w:rPr>
        <w:t>Relação de Empresas do Estudo</w:t>
      </w:r>
    </w:p>
    <w:tbl>
      <w:tblPr>
        <w:tblW w:w="0" w:type="auto"/>
        <w:jc w:val="center"/>
        <w:tblCellMar>
          <w:left w:w="70" w:type="dxa"/>
          <w:right w:w="70" w:type="dxa"/>
        </w:tblCellMar>
        <w:tblLook w:val="04A0" w:firstRow="1" w:lastRow="0" w:firstColumn="1" w:lastColumn="0" w:noHBand="0" w:noVBand="1"/>
      </w:tblPr>
      <w:tblGrid>
        <w:gridCol w:w="4836"/>
        <w:gridCol w:w="2392"/>
      </w:tblGrid>
      <w:tr w:rsidR="00C95200" w:rsidRPr="00EA5146" w:rsidTr="00EB7484">
        <w:trPr>
          <w:trHeight w:val="118"/>
          <w:jc w:val="center"/>
        </w:trPr>
        <w:tc>
          <w:tcPr>
            <w:tcW w:w="4836" w:type="dxa"/>
            <w:tcBorders>
              <w:top w:val="single" w:sz="4" w:space="0" w:color="auto"/>
              <w:bottom w:val="single" w:sz="4" w:space="0" w:color="auto"/>
              <w:right w:val="single" w:sz="4" w:space="0" w:color="auto"/>
            </w:tcBorders>
            <w:shd w:val="clear" w:color="auto" w:fill="auto"/>
            <w:vAlign w:val="center"/>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Razão Social</w:t>
            </w:r>
          </w:p>
        </w:tc>
        <w:tc>
          <w:tcPr>
            <w:tcW w:w="2392" w:type="dxa"/>
            <w:tcBorders>
              <w:top w:val="single" w:sz="4" w:space="0" w:color="auto"/>
              <w:left w:val="single" w:sz="4" w:space="0" w:color="auto"/>
              <w:bottom w:val="single" w:sz="4" w:space="0" w:color="auto"/>
            </w:tcBorders>
            <w:shd w:val="clear" w:color="auto" w:fill="auto"/>
            <w:vAlign w:val="center"/>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Nome de Pregão</w:t>
            </w:r>
          </w:p>
        </w:tc>
      </w:tr>
      <w:tr w:rsidR="00C95200" w:rsidRPr="00EA5146" w:rsidTr="00EB7484">
        <w:trPr>
          <w:trHeight w:val="118"/>
          <w:jc w:val="center"/>
        </w:trPr>
        <w:tc>
          <w:tcPr>
            <w:tcW w:w="4836" w:type="dxa"/>
            <w:tcBorders>
              <w:top w:val="single" w:sz="4" w:space="0" w:color="auto"/>
              <w:bottom w:val="single" w:sz="4" w:space="0" w:color="auto"/>
              <w:right w:val="single" w:sz="4" w:space="0" w:color="auto"/>
            </w:tcBorders>
            <w:shd w:val="clear" w:color="auto" w:fill="auto"/>
            <w:vAlign w:val="center"/>
            <w:hideMark/>
          </w:tcPr>
          <w:p w:rsidR="00C95200" w:rsidRPr="00212EDF" w:rsidRDefault="00C95200" w:rsidP="00EA5146">
            <w:pPr>
              <w:spacing w:before="60" w:after="60"/>
              <w:jc w:val="center"/>
              <w:rPr>
                <w:rFonts w:ascii="Times New Roman" w:eastAsia="Times New Roman" w:hAnsi="Times New Roman"/>
                <w:bCs/>
                <w:color w:val="000000"/>
                <w:sz w:val="20"/>
                <w:szCs w:val="20"/>
                <w:lang w:val="en-US" w:eastAsia="pt-BR"/>
              </w:rPr>
            </w:pPr>
            <w:r w:rsidRPr="00212EDF">
              <w:rPr>
                <w:rFonts w:ascii="Times New Roman" w:eastAsia="Times New Roman" w:hAnsi="Times New Roman"/>
                <w:bCs/>
                <w:color w:val="000000"/>
                <w:sz w:val="20"/>
                <w:szCs w:val="20"/>
                <w:lang w:val="en-US" w:eastAsia="pt-BR"/>
              </w:rPr>
              <w:t>ALIANSCE SHOPPING CENTERS S.A.</w:t>
            </w:r>
          </w:p>
        </w:tc>
        <w:tc>
          <w:tcPr>
            <w:tcW w:w="2392" w:type="dxa"/>
            <w:tcBorders>
              <w:top w:val="single" w:sz="4" w:space="0" w:color="auto"/>
              <w:left w:val="single" w:sz="4" w:space="0" w:color="auto"/>
              <w:bottom w:val="single" w:sz="4" w:space="0" w:color="auto"/>
            </w:tcBorders>
            <w:shd w:val="clear" w:color="auto" w:fill="auto"/>
            <w:vAlign w:val="center"/>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ALIANSCE</w:t>
            </w:r>
          </w:p>
        </w:tc>
      </w:tr>
      <w:tr w:rsidR="00C95200" w:rsidRPr="00EA5146" w:rsidTr="00EB7484">
        <w:trPr>
          <w:trHeight w:val="118"/>
          <w:jc w:val="center"/>
        </w:trPr>
        <w:tc>
          <w:tcPr>
            <w:tcW w:w="4836" w:type="dxa"/>
            <w:tcBorders>
              <w:top w:val="single" w:sz="4" w:space="0" w:color="auto"/>
              <w:bottom w:val="single" w:sz="4" w:space="0" w:color="auto"/>
              <w:right w:val="single" w:sz="4" w:space="0" w:color="auto"/>
            </w:tcBorders>
            <w:shd w:val="clear" w:color="auto" w:fill="auto"/>
            <w:vAlign w:val="center"/>
            <w:hideMark/>
          </w:tcPr>
          <w:p w:rsidR="00C95200" w:rsidRPr="00212EDF" w:rsidRDefault="00C95200" w:rsidP="00EA5146">
            <w:pPr>
              <w:spacing w:before="60" w:after="60"/>
              <w:jc w:val="center"/>
              <w:rPr>
                <w:rFonts w:ascii="Times New Roman" w:eastAsia="Times New Roman" w:hAnsi="Times New Roman"/>
                <w:bCs/>
                <w:color w:val="000000"/>
                <w:sz w:val="20"/>
                <w:szCs w:val="20"/>
                <w:lang w:val="en-US" w:eastAsia="pt-BR"/>
              </w:rPr>
            </w:pPr>
            <w:r w:rsidRPr="00212EDF">
              <w:rPr>
                <w:rFonts w:ascii="Times New Roman" w:eastAsia="Times New Roman" w:hAnsi="Times New Roman"/>
                <w:bCs/>
                <w:color w:val="000000"/>
                <w:sz w:val="20"/>
                <w:szCs w:val="20"/>
                <w:lang w:val="en-US" w:eastAsia="pt-BR"/>
              </w:rPr>
              <w:t>BR MALLS PARTICIPACOES S.A.</w:t>
            </w:r>
          </w:p>
        </w:tc>
        <w:tc>
          <w:tcPr>
            <w:tcW w:w="2392" w:type="dxa"/>
            <w:tcBorders>
              <w:top w:val="single" w:sz="4" w:space="0" w:color="auto"/>
              <w:left w:val="single" w:sz="4" w:space="0" w:color="auto"/>
              <w:bottom w:val="single" w:sz="4" w:space="0" w:color="auto"/>
            </w:tcBorders>
            <w:shd w:val="clear" w:color="auto" w:fill="auto"/>
            <w:vAlign w:val="center"/>
            <w:hideMark/>
          </w:tcPr>
          <w:p w:rsidR="00C95200" w:rsidRPr="00EA5146" w:rsidRDefault="00387A6D" w:rsidP="00EA5146">
            <w:pPr>
              <w:spacing w:before="60" w:after="60"/>
              <w:jc w:val="center"/>
              <w:rPr>
                <w:rFonts w:ascii="Times New Roman" w:eastAsia="Times New Roman" w:hAnsi="Times New Roman"/>
                <w:bCs/>
                <w:color w:val="000000"/>
                <w:sz w:val="20"/>
                <w:szCs w:val="20"/>
                <w:lang w:eastAsia="pt-BR"/>
              </w:rPr>
            </w:pPr>
            <w:hyperlink r:id="rId10" w:history="1">
              <w:r w:rsidR="00C95200" w:rsidRPr="00EA5146">
                <w:rPr>
                  <w:rFonts w:ascii="Times New Roman" w:eastAsia="Times New Roman" w:hAnsi="Times New Roman"/>
                  <w:bCs/>
                  <w:color w:val="000000"/>
                  <w:sz w:val="20"/>
                  <w:szCs w:val="20"/>
                  <w:lang w:eastAsia="pt-BR"/>
                </w:rPr>
                <w:t>BR MALLS PAR</w:t>
              </w:r>
            </w:hyperlink>
          </w:p>
        </w:tc>
      </w:tr>
      <w:tr w:rsidR="00C95200" w:rsidRPr="00EA5146" w:rsidTr="00EB7484">
        <w:trPr>
          <w:trHeight w:val="118"/>
          <w:jc w:val="center"/>
        </w:trPr>
        <w:tc>
          <w:tcPr>
            <w:tcW w:w="4836" w:type="dxa"/>
            <w:tcBorders>
              <w:top w:val="single" w:sz="4" w:space="0" w:color="auto"/>
              <w:bottom w:val="single" w:sz="4" w:space="0" w:color="auto"/>
              <w:right w:val="single" w:sz="4" w:space="0" w:color="auto"/>
            </w:tcBorders>
            <w:shd w:val="clear" w:color="auto" w:fill="auto"/>
            <w:vAlign w:val="center"/>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BR PROPERTIES S.A.</w:t>
            </w:r>
          </w:p>
        </w:tc>
        <w:tc>
          <w:tcPr>
            <w:tcW w:w="2392" w:type="dxa"/>
            <w:tcBorders>
              <w:top w:val="single" w:sz="4" w:space="0" w:color="auto"/>
              <w:left w:val="single" w:sz="4" w:space="0" w:color="auto"/>
              <w:bottom w:val="single" w:sz="4" w:space="0" w:color="auto"/>
            </w:tcBorders>
            <w:shd w:val="clear" w:color="auto" w:fill="auto"/>
            <w:vAlign w:val="center"/>
            <w:hideMark/>
          </w:tcPr>
          <w:p w:rsidR="00C95200" w:rsidRPr="00EA5146" w:rsidRDefault="00387A6D" w:rsidP="00EA5146">
            <w:pPr>
              <w:spacing w:before="60" w:after="60"/>
              <w:jc w:val="center"/>
              <w:rPr>
                <w:rFonts w:ascii="Times New Roman" w:eastAsia="Times New Roman" w:hAnsi="Times New Roman"/>
                <w:bCs/>
                <w:color w:val="000000"/>
                <w:sz w:val="20"/>
                <w:szCs w:val="20"/>
                <w:lang w:eastAsia="pt-BR"/>
              </w:rPr>
            </w:pPr>
            <w:hyperlink r:id="rId11" w:history="1">
              <w:r w:rsidR="00C95200" w:rsidRPr="00EA5146">
                <w:rPr>
                  <w:rFonts w:ascii="Times New Roman" w:eastAsia="Times New Roman" w:hAnsi="Times New Roman"/>
                  <w:bCs/>
                  <w:color w:val="000000"/>
                  <w:sz w:val="20"/>
                  <w:szCs w:val="20"/>
                  <w:lang w:eastAsia="pt-BR"/>
                </w:rPr>
                <w:t>BR PROPERT</w:t>
              </w:r>
            </w:hyperlink>
          </w:p>
        </w:tc>
      </w:tr>
      <w:tr w:rsidR="00C95200" w:rsidRPr="00EA5146" w:rsidTr="00EB7484">
        <w:trPr>
          <w:trHeight w:val="237"/>
          <w:jc w:val="center"/>
        </w:trPr>
        <w:tc>
          <w:tcPr>
            <w:tcW w:w="4836" w:type="dxa"/>
            <w:tcBorders>
              <w:top w:val="single" w:sz="4" w:space="0" w:color="auto"/>
              <w:bottom w:val="single" w:sz="4" w:space="0" w:color="auto"/>
              <w:right w:val="single" w:sz="4" w:space="0" w:color="auto"/>
            </w:tcBorders>
            <w:shd w:val="clear" w:color="auto" w:fill="auto"/>
            <w:vAlign w:val="center"/>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BRASILAGRO - CIA BRAS DE PROP AGRICOLAS</w:t>
            </w:r>
          </w:p>
        </w:tc>
        <w:tc>
          <w:tcPr>
            <w:tcW w:w="2392" w:type="dxa"/>
            <w:tcBorders>
              <w:top w:val="single" w:sz="4" w:space="0" w:color="auto"/>
              <w:left w:val="single" w:sz="4" w:space="0" w:color="auto"/>
              <w:bottom w:val="single" w:sz="4" w:space="0" w:color="auto"/>
            </w:tcBorders>
            <w:shd w:val="clear" w:color="auto" w:fill="auto"/>
            <w:vAlign w:val="center"/>
            <w:hideMark/>
          </w:tcPr>
          <w:p w:rsidR="00C95200" w:rsidRPr="00EA5146" w:rsidRDefault="00387A6D" w:rsidP="00EA5146">
            <w:pPr>
              <w:spacing w:before="60" w:after="60"/>
              <w:jc w:val="center"/>
              <w:rPr>
                <w:rFonts w:ascii="Times New Roman" w:eastAsia="Times New Roman" w:hAnsi="Times New Roman"/>
                <w:bCs/>
                <w:color w:val="000000"/>
                <w:sz w:val="20"/>
                <w:szCs w:val="20"/>
                <w:lang w:eastAsia="pt-BR"/>
              </w:rPr>
            </w:pPr>
            <w:hyperlink r:id="rId12" w:history="1">
              <w:r w:rsidR="00C95200" w:rsidRPr="00EA5146">
                <w:rPr>
                  <w:rFonts w:ascii="Times New Roman" w:eastAsia="Times New Roman" w:hAnsi="Times New Roman"/>
                  <w:bCs/>
                  <w:color w:val="000000"/>
                  <w:sz w:val="20"/>
                  <w:szCs w:val="20"/>
                  <w:lang w:eastAsia="pt-BR"/>
                </w:rPr>
                <w:t>BRASILAGRO</w:t>
              </w:r>
            </w:hyperlink>
          </w:p>
        </w:tc>
      </w:tr>
      <w:tr w:rsidR="00C95200" w:rsidRPr="00EA5146" w:rsidTr="00EB7484">
        <w:trPr>
          <w:trHeight w:val="237"/>
          <w:jc w:val="center"/>
        </w:trPr>
        <w:tc>
          <w:tcPr>
            <w:tcW w:w="4836" w:type="dxa"/>
            <w:tcBorders>
              <w:top w:val="single" w:sz="4" w:space="0" w:color="auto"/>
              <w:bottom w:val="single" w:sz="4" w:space="0" w:color="auto"/>
              <w:right w:val="single" w:sz="4" w:space="0" w:color="auto"/>
            </w:tcBorders>
            <w:shd w:val="clear" w:color="auto" w:fill="auto"/>
            <w:vAlign w:val="center"/>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CYRELA COMMERCIAL PROPERT S.A. EMPR PART</w:t>
            </w:r>
          </w:p>
        </w:tc>
        <w:tc>
          <w:tcPr>
            <w:tcW w:w="2392" w:type="dxa"/>
            <w:tcBorders>
              <w:top w:val="single" w:sz="4" w:space="0" w:color="auto"/>
              <w:left w:val="single" w:sz="4" w:space="0" w:color="auto"/>
              <w:bottom w:val="single" w:sz="4" w:space="0" w:color="auto"/>
            </w:tcBorders>
            <w:shd w:val="clear" w:color="auto" w:fill="auto"/>
            <w:vAlign w:val="center"/>
            <w:hideMark/>
          </w:tcPr>
          <w:p w:rsidR="00C95200" w:rsidRPr="00EA5146" w:rsidRDefault="00387A6D" w:rsidP="00EA5146">
            <w:pPr>
              <w:spacing w:before="60" w:after="60"/>
              <w:jc w:val="center"/>
              <w:rPr>
                <w:rFonts w:ascii="Times New Roman" w:eastAsia="Times New Roman" w:hAnsi="Times New Roman"/>
                <w:bCs/>
                <w:color w:val="000000"/>
                <w:sz w:val="20"/>
                <w:szCs w:val="20"/>
                <w:lang w:eastAsia="pt-BR"/>
              </w:rPr>
            </w:pPr>
            <w:hyperlink r:id="rId13" w:history="1">
              <w:r w:rsidR="00C95200" w:rsidRPr="00EA5146">
                <w:rPr>
                  <w:rFonts w:ascii="Times New Roman" w:eastAsia="Times New Roman" w:hAnsi="Times New Roman"/>
                  <w:bCs/>
                  <w:color w:val="000000"/>
                  <w:sz w:val="20"/>
                  <w:szCs w:val="20"/>
                  <w:lang w:eastAsia="pt-BR"/>
                </w:rPr>
                <w:t>CYRE COM-CCP</w:t>
              </w:r>
            </w:hyperlink>
          </w:p>
        </w:tc>
      </w:tr>
      <w:tr w:rsidR="00C95200" w:rsidRPr="00EA5146" w:rsidTr="00EB7484">
        <w:trPr>
          <w:trHeight w:val="118"/>
          <w:jc w:val="center"/>
        </w:trPr>
        <w:tc>
          <w:tcPr>
            <w:tcW w:w="4836" w:type="dxa"/>
            <w:tcBorders>
              <w:top w:val="single" w:sz="4" w:space="0" w:color="auto"/>
              <w:bottom w:val="single" w:sz="4" w:space="0" w:color="auto"/>
              <w:right w:val="single" w:sz="4" w:space="0" w:color="auto"/>
            </w:tcBorders>
            <w:shd w:val="clear" w:color="auto" w:fill="auto"/>
            <w:vAlign w:val="center"/>
            <w:hideMark/>
          </w:tcPr>
          <w:p w:rsidR="00C95200" w:rsidRPr="00212EDF" w:rsidRDefault="00C95200" w:rsidP="00EA5146">
            <w:pPr>
              <w:spacing w:before="60" w:after="60"/>
              <w:jc w:val="center"/>
              <w:rPr>
                <w:rFonts w:ascii="Times New Roman" w:eastAsia="Times New Roman" w:hAnsi="Times New Roman"/>
                <w:bCs/>
                <w:color w:val="000000"/>
                <w:sz w:val="20"/>
                <w:szCs w:val="20"/>
                <w:lang w:val="en-US" w:eastAsia="pt-BR"/>
              </w:rPr>
            </w:pPr>
            <w:r w:rsidRPr="00212EDF">
              <w:rPr>
                <w:rFonts w:ascii="Times New Roman" w:eastAsia="Times New Roman" w:hAnsi="Times New Roman"/>
                <w:bCs/>
                <w:color w:val="000000"/>
                <w:sz w:val="20"/>
                <w:szCs w:val="20"/>
                <w:lang w:val="en-US" w:eastAsia="pt-BR"/>
              </w:rPr>
              <w:t>GENERAL SHOPPING BRASIL S.A.</w:t>
            </w:r>
          </w:p>
        </w:tc>
        <w:tc>
          <w:tcPr>
            <w:tcW w:w="2392" w:type="dxa"/>
            <w:tcBorders>
              <w:top w:val="single" w:sz="4" w:space="0" w:color="auto"/>
              <w:left w:val="single" w:sz="4" w:space="0" w:color="auto"/>
              <w:bottom w:val="single" w:sz="4" w:space="0" w:color="auto"/>
            </w:tcBorders>
            <w:shd w:val="clear" w:color="auto" w:fill="auto"/>
            <w:vAlign w:val="center"/>
            <w:hideMark/>
          </w:tcPr>
          <w:p w:rsidR="00C95200" w:rsidRPr="00EA5146" w:rsidRDefault="00387A6D" w:rsidP="00EA5146">
            <w:pPr>
              <w:spacing w:before="60" w:after="60"/>
              <w:jc w:val="center"/>
              <w:rPr>
                <w:rFonts w:ascii="Times New Roman" w:eastAsia="Times New Roman" w:hAnsi="Times New Roman"/>
                <w:bCs/>
                <w:color w:val="000000"/>
                <w:sz w:val="20"/>
                <w:szCs w:val="20"/>
                <w:lang w:eastAsia="pt-BR"/>
              </w:rPr>
            </w:pPr>
            <w:hyperlink r:id="rId14" w:history="1">
              <w:r w:rsidR="00C95200" w:rsidRPr="00EA5146">
                <w:rPr>
                  <w:rFonts w:ascii="Times New Roman" w:eastAsia="Times New Roman" w:hAnsi="Times New Roman"/>
                  <w:bCs/>
                  <w:color w:val="000000"/>
                  <w:sz w:val="20"/>
                  <w:szCs w:val="20"/>
                  <w:lang w:eastAsia="pt-BR"/>
                </w:rPr>
                <w:t>GENERALSHOPP</w:t>
              </w:r>
            </w:hyperlink>
          </w:p>
        </w:tc>
      </w:tr>
      <w:tr w:rsidR="00C95200" w:rsidRPr="00EA5146" w:rsidTr="00EB7484">
        <w:trPr>
          <w:trHeight w:val="237"/>
          <w:jc w:val="center"/>
        </w:trPr>
        <w:tc>
          <w:tcPr>
            <w:tcW w:w="4836" w:type="dxa"/>
            <w:tcBorders>
              <w:top w:val="single" w:sz="4" w:space="0" w:color="auto"/>
              <w:bottom w:val="single" w:sz="4" w:space="0" w:color="auto"/>
              <w:right w:val="single" w:sz="4" w:space="0" w:color="auto"/>
            </w:tcBorders>
            <w:shd w:val="clear" w:color="auto" w:fill="auto"/>
            <w:vAlign w:val="center"/>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IGUATEMI EMPRESA DE SHOPPING CENTERS S.A</w:t>
            </w:r>
          </w:p>
        </w:tc>
        <w:tc>
          <w:tcPr>
            <w:tcW w:w="2392" w:type="dxa"/>
            <w:tcBorders>
              <w:top w:val="single" w:sz="4" w:space="0" w:color="auto"/>
              <w:left w:val="single" w:sz="4" w:space="0" w:color="auto"/>
              <w:bottom w:val="single" w:sz="4" w:space="0" w:color="auto"/>
            </w:tcBorders>
            <w:shd w:val="clear" w:color="auto" w:fill="auto"/>
            <w:vAlign w:val="center"/>
            <w:hideMark/>
          </w:tcPr>
          <w:p w:rsidR="00C95200" w:rsidRPr="00EA5146" w:rsidRDefault="00387A6D" w:rsidP="00EA5146">
            <w:pPr>
              <w:spacing w:before="60" w:after="60"/>
              <w:jc w:val="center"/>
              <w:rPr>
                <w:rFonts w:ascii="Times New Roman" w:eastAsia="Times New Roman" w:hAnsi="Times New Roman"/>
                <w:bCs/>
                <w:color w:val="000000"/>
                <w:sz w:val="20"/>
                <w:szCs w:val="20"/>
                <w:lang w:eastAsia="pt-BR"/>
              </w:rPr>
            </w:pPr>
            <w:hyperlink r:id="rId15" w:history="1">
              <w:r w:rsidR="00C95200" w:rsidRPr="00EA5146">
                <w:rPr>
                  <w:rFonts w:ascii="Times New Roman" w:eastAsia="Times New Roman" w:hAnsi="Times New Roman"/>
                  <w:bCs/>
                  <w:color w:val="000000"/>
                  <w:sz w:val="20"/>
                  <w:szCs w:val="20"/>
                  <w:lang w:eastAsia="pt-BR"/>
                </w:rPr>
                <w:t>IGUATEMI</w:t>
              </w:r>
            </w:hyperlink>
          </w:p>
        </w:tc>
      </w:tr>
      <w:tr w:rsidR="00C95200" w:rsidRPr="00EA5146" w:rsidTr="00EB7484">
        <w:trPr>
          <w:trHeight w:val="237"/>
          <w:jc w:val="center"/>
        </w:trPr>
        <w:tc>
          <w:tcPr>
            <w:tcW w:w="4836" w:type="dxa"/>
            <w:tcBorders>
              <w:top w:val="single" w:sz="4" w:space="0" w:color="auto"/>
              <w:bottom w:val="single" w:sz="4" w:space="0" w:color="auto"/>
              <w:right w:val="single" w:sz="4" w:space="0" w:color="auto"/>
            </w:tcBorders>
            <w:shd w:val="clear" w:color="auto" w:fill="auto"/>
            <w:vAlign w:val="center"/>
            <w:hideMark/>
          </w:tcPr>
          <w:p w:rsidR="00C95200" w:rsidRPr="00EA5146" w:rsidRDefault="00387A6D" w:rsidP="00EA5146">
            <w:pPr>
              <w:spacing w:before="60" w:after="60"/>
              <w:jc w:val="center"/>
              <w:rPr>
                <w:rFonts w:ascii="Times New Roman" w:eastAsia="Times New Roman" w:hAnsi="Times New Roman"/>
                <w:bCs/>
                <w:color w:val="000000"/>
                <w:sz w:val="20"/>
                <w:szCs w:val="20"/>
                <w:lang w:eastAsia="pt-BR"/>
              </w:rPr>
            </w:pPr>
            <w:hyperlink r:id="rId16" w:history="1">
              <w:r w:rsidR="00C95200" w:rsidRPr="00EA5146">
                <w:rPr>
                  <w:rFonts w:ascii="Times New Roman" w:eastAsia="Times New Roman" w:hAnsi="Times New Roman"/>
                  <w:bCs/>
                  <w:color w:val="000000"/>
                  <w:sz w:val="20"/>
                  <w:szCs w:val="20"/>
                  <w:lang w:eastAsia="pt-BR"/>
                </w:rPr>
                <w:t>MULTIPLAN - EMPREEND IMOBILIARIOS S.A.</w:t>
              </w:r>
            </w:hyperlink>
          </w:p>
        </w:tc>
        <w:tc>
          <w:tcPr>
            <w:tcW w:w="2392" w:type="dxa"/>
            <w:tcBorders>
              <w:top w:val="single" w:sz="4" w:space="0" w:color="auto"/>
              <w:left w:val="single" w:sz="4" w:space="0" w:color="auto"/>
              <w:bottom w:val="single" w:sz="4" w:space="0" w:color="auto"/>
            </w:tcBorders>
            <w:shd w:val="clear" w:color="auto" w:fill="auto"/>
            <w:vAlign w:val="center"/>
            <w:hideMark/>
          </w:tcPr>
          <w:p w:rsidR="00C95200" w:rsidRPr="00EA5146" w:rsidRDefault="00387A6D" w:rsidP="00EA5146">
            <w:pPr>
              <w:spacing w:before="60" w:after="60"/>
              <w:jc w:val="center"/>
              <w:rPr>
                <w:rFonts w:ascii="Times New Roman" w:eastAsia="Times New Roman" w:hAnsi="Times New Roman"/>
                <w:bCs/>
                <w:color w:val="000000"/>
                <w:sz w:val="20"/>
                <w:szCs w:val="20"/>
                <w:lang w:eastAsia="pt-BR"/>
              </w:rPr>
            </w:pPr>
            <w:hyperlink r:id="rId17" w:history="1">
              <w:r w:rsidR="00C95200" w:rsidRPr="00EA5146">
                <w:rPr>
                  <w:rFonts w:ascii="Times New Roman" w:eastAsia="Times New Roman" w:hAnsi="Times New Roman"/>
                  <w:bCs/>
                  <w:color w:val="000000"/>
                  <w:sz w:val="20"/>
                  <w:szCs w:val="20"/>
                  <w:lang w:eastAsia="pt-BR"/>
                </w:rPr>
                <w:t>MULTIPLAN</w:t>
              </w:r>
            </w:hyperlink>
          </w:p>
        </w:tc>
      </w:tr>
      <w:tr w:rsidR="00C95200" w:rsidRPr="00EA5146" w:rsidTr="00EB7484">
        <w:trPr>
          <w:trHeight w:val="237"/>
          <w:jc w:val="center"/>
        </w:trPr>
        <w:tc>
          <w:tcPr>
            <w:tcW w:w="4836" w:type="dxa"/>
            <w:tcBorders>
              <w:top w:val="single" w:sz="4" w:space="0" w:color="auto"/>
              <w:bottom w:val="single" w:sz="4" w:space="0" w:color="auto"/>
              <w:right w:val="single" w:sz="4" w:space="0" w:color="auto"/>
            </w:tcBorders>
            <w:shd w:val="clear" w:color="auto" w:fill="auto"/>
            <w:vAlign w:val="center"/>
            <w:hideMark/>
          </w:tcPr>
          <w:p w:rsidR="00C95200" w:rsidRPr="00EA5146" w:rsidRDefault="00387A6D" w:rsidP="00EA5146">
            <w:pPr>
              <w:spacing w:before="60" w:after="60"/>
              <w:jc w:val="center"/>
              <w:rPr>
                <w:rFonts w:ascii="Times New Roman" w:eastAsia="Times New Roman" w:hAnsi="Times New Roman"/>
                <w:bCs/>
                <w:color w:val="000000"/>
                <w:sz w:val="20"/>
                <w:szCs w:val="20"/>
                <w:lang w:eastAsia="pt-BR"/>
              </w:rPr>
            </w:pPr>
            <w:hyperlink r:id="rId18" w:history="1">
              <w:r w:rsidR="00C95200" w:rsidRPr="00EA5146">
                <w:rPr>
                  <w:rFonts w:ascii="Times New Roman" w:eastAsia="Times New Roman" w:hAnsi="Times New Roman"/>
                  <w:bCs/>
                  <w:color w:val="000000"/>
                  <w:sz w:val="20"/>
                  <w:szCs w:val="20"/>
                  <w:lang w:eastAsia="pt-BR"/>
                </w:rPr>
                <w:t>SAO CARLOS EMPREEND E PARTICIPACOES S.A.</w:t>
              </w:r>
            </w:hyperlink>
          </w:p>
        </w:tc>
        <w:tc>
          <w:tcPr>
            <w:tcW w:w="2392" w:type="dxa"/>
            <w:tcBorders>
              <w:top w:val="single" w:sz="4" w:space="0" w:color="auto"/>
              <w:left w:val="single" w:sz="4" w:space="0" w:color="auto"/>
              <w:bottom w:val="single" w:sz="4" w:space="0" w:color="auto"/>
            </w:tcBorders>
            <w:shd w:val="clear" w:color="auto" w:fill="auto"/>
            <w:vAlign w:val="center"/>
            <w:hideMark/>
          </w:tcPr>
          <w:p w:rsidR="00C95200" w:rsidRPr="00EA5146" w:rsidRDefault="00387A6D" w:rsidP="00EA5146">
            <w:pPr>
              <w:spacing w:before="60" w:after="60"/>
              <w:jc w:val="center"/>
              <w:rPr>
                <w:rFonts w:ascii="Times New Roman" w:eastAsia="Times New Roman" w:hAnsi="Times New Roman"/>
                <w:bCs/>
                <w:color w:val="000000"/>
                <w:sz w:val="20"/>
                <w:szCs w:val="20"/>
                <w:lang w:eastAsia="pt-BR"/>
              </w:rPr>
            </w:pPr>
            <w:hyperlink r:id="rId19" w:history="1">
              <w:r w:rsidR="00C95200" w:rsidRPr="00EA5146">
                <w:rPr>
                  <w:rFonts w:ascii="Times New Roman" w:eastAsia="Times New Roman" w:hAnsi="Times New Roman"/>
                  <w:bCs/>
                  <w:color w:val="000000"/>
                  <w:sz w:val="20"/>
                  <w:szCs w:val="20"/>
                  <w:lang w:eastAsia="pt-BR"/>
                </w:rPr>
                <w:t>SAO CARLOS</w:t>
              </w:r>
            </w:hyperlink>
          </w:p>
        </w:tc>
      </w:tr>
      <w:tr w:rsidR="00C95200" w:rsidRPr="00EA5146" w:rsidTr="00EB7484">
        <w:trPr>
          <w:trHeight w:val="118"/>
          <w:jc w:val="center"/>
        </w:trPr>
        <w:tc>
          <w:tcPr>
            <w:tcW w:w="4836" w:type="dxa"/>
            <w:tcBorders>
              <w:top w:val="single" w:sz="4" w:space="0" w:color="auto"/>
              <w:bottom w:val="single" w:sz="4" w:space="0" w:color="auto"/>
              <w:right w:val="single" w:sz="4" w:space="0" w:color="auto"/>
            </w:tcBorders>
            <w:shd w:val="clear" w:color="auto" w:fill="auto"/>
            <w:vAlign w:val="center"/>
            <w:hideMark/>
          </w:tcPr>
          <w:p w:rsidR="00C95200" w:rsidRPr="00EA5146" w:rsidRDefault="00387A6D" w:rsidP="00EA5146">
            <w:pPr>
              <w:spacing w:before="60" w:after="60"/>
              <w:jc w:val="center"/>
              <w:rPr>
                <w:rFonts w:ascii="Times New Roman" w:eastAsia="Times New Roman" w:hAnsi="Times New Roman"/>
                <w:bCs/>
                <w:color w:val="000000"/>
                <w:sz w:val="20"/>
                <w:szCs w:val="20"/>
                <w:lang w:eastAsia="pt-BR"/>
              </w:rPr>
            </w:pPr>
            <w:hyperlink r:id="rId20" w:history="1">
              <w:r w:rsidR="00C95200" w:rsidRPr="00EA5146">
                <w:rPr>
                  <w:rFonts w:ascii="Times New Roman" w:eastAsia="Times New Roman" w:hAnsi="Times New Roman"/>
                  <w:bCs/>
                  <w:color w:val="000000"/>
                  <w:sz w:val="20"/>
                  <w:szCs w:val="20"/>
                  <w:lang w:eastAsia="pt-BR"/>
                </w:rPr>
                <w:t>SONAE SIERRA BRASIL S.A.</w:t>
              </w:r>
            </w:hyperlink>
          </w:p>
        </w:tc>
        <w:tc>
          <w:tcPr>
            <w:tcW w:w="2392" w:type="dxa"/>
            <w:tcBorders>
              <w:top w:val="single" w:sz="4" w:space="0" w:color="auto"/>
              <w:left w:val="single" w:sz="4" w:space="0" w:color="auto"/>
              <w:bottom w:val="single" w:sz="4" w:space="0" w:color="auto"/>
            </w:tcBorders>
            <w:shd w:val="clear" w:color="auto" w:fill="auto"/>
            <w:vAlign w:val="center"/>
            <w:hideMark/>
          </w:tcPr>
          <w:p w:rsidR="00C95200" w:rsidRPr="00EA5146" w:rsidRDefault="00387A6D" w:rsidP="00EA5146">
            <w:pPr>
              <w:spacing w:before="60" w:after="60"/>
              <w:jc w:val="center"/>
              <w:rPr>
                <w:rFonts w:ascii="Times New Roman" w:eastAsia="Times New Roman" w:hAnsi="Times New Roman"/>
                <w:bCs/>
                <w:color w:val="000000"/>
                <w:sz w:val="20"/>
                <w:szCs w:val="20"/>
                <w:lang w:eastAsia="pt-BR"/>
              </w:rPr>
            </w:pPr>
            <w:hyperlink r:id="rId21" w:history="1">
              <w:r w:rsidR="00C95200" w:rsidRPr="00EA5146">
                <w:rPr>
                  <w:rFonts w:ascii="Times New Roman" w:eastAsia="Times New Roman" w:hAnsi="Times New Roman"/>
                  <w:bCs/>
                  <w:color w:val="000000"/>
                  <w:sz w:val="20"/>
                  <w:szCs w:val="20"/>
                  <w:lang w:eastAsia="pt-BR"/>
                </w:rPr>
                <w:t>SIERRABRASIL</w:t>
              </w:r>
            </w:hyperlink>
          </w:p>
        </w:tc>
      </w:tr>
    </w:tbl>
    <w:p w:rsidR="00C95200" w:rsidRPr="00EA5146" w:rsidRDefault="00EA5146" w:rsidP="00EA5146">
      <w:pPr>
        <w:spacing w:before="60" w:after="60"/>
        <w:ind w:left="708" w:firstLine="143"/>
        <w:jc w:val="both"/>
        <w:rPr>
          <w:rFonts w:ascii="Times New Roman" w:hAnsi="Times New Roman"/>
          <w:spacing w:val="-8"/>
          <w:sz w:val="20"/>
          <w:szCs w:val="20"/>
        </w:rPr>
      </w:pPr>
      <w:r>
        <w:rPr>
          <w:rFonts w:ascii="Times New Roman" w:hAnsi="Times New Roman"/>
          <w:spacing w:val="-8"/>
          <w:sz w:val="20"/>
          <w:szCs w:val="20"/>
        </w:rPr>
        <w:t>Fonte: Elaborado pelos autores.</w:t>
      </w:r>
    </w:p>
    <w:p w:rsidR="002C6895" w:rsidRPr="00DC0672" w:rsidRDefault="002C6895" w:rsidP="00C95200">
      <w:pPr>
        <w:ind w:firstLine="567"/>
        <w:rPr>
          <w:rFonts w:ascii="Times New Roman" w:hAnsi="Times New Roman"/>
          <w:sz w:val="20"/>
          <w:szCs w:val="20"/>
        </w:rPr>
      </w:pPr>
    </w:p>
    <w:p w:rsidR="00C95200" w:rsidRPr="00C91A25" w:rsidRDefault="0038040F" w:rsidP="0038040F">
      <w:pPr>
        <w:rPr>
          <w:rFonts w:ascii="Times New Roman" w:hAnsi="Times New Roman"/>
          <w:b/>
          <w:iCs/>
          <w:sz w:val="24"/>
          <w:szCs w:val="24"/>
        </w:rPr>
      </w:pPr>
      <w:r w:rsidRPr="00C91A25">
        <w:rPr>
          <w:rFonts w:ascii="Times New Roman" w:hAnsi="Times New Roman"/>
          <w:b/>
          <w:iCs/>
          <w:sz w:val="24"/>
          <w:szCs w:val="24"/>
        </w:rPr>
        <w:t xml:space="preserve">3.2 </w:t>
      </w:r>
      <w:r w:rsidR="00C95200" w:rsidRPr="00C91A25">
        <w:rPr>
          <w:rFonts w:ascii="Times New Roman" w:hAnsi="Times New Roman"/>
          <w:b/>
          <w:iCs/>
          <w:sz w:val="24"/>
          <w:szCs w:val="24"/>
        </w:rPr>
        <w:t>- Análise dos Dados</w:t>
      </w:r>
    </w:p>
    <w:p w:rsidR="0038040F" w:rsidRPr="00DC0672" w:rsidRDefault="0038040F" w:rsidP="0038040F">
      <w:pPr>
        <w:ind w:left="720"/>
        <w:jc w:val="both"/>
        <w:rPr>
          <w:rFonts w:ascii="Times New Roman" w:hAnsi="Times New Roman"/>
          <w:b/>
          <w:i/>
          <w:iCs/>
          <w:sz w:val="24"/>
          <w:szCs w:val="24"/>
        </w:rPr>
      </w:pPr>
    </w:p>
    <w:p w:rsidR="00C95200" w:rsidRPr="00FD6136" w:rsidRDefault="00C95200"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O conjunto de dados do estudo é composto por cinco variáveis apresentadas n</w:t>
      </w:r>
      <w:r w:rsidR="00E4064E" w:rsidRPr="00FD6136">
        <w:rPr>
          <w:rFonts w:ascii="Times New Roman" w:hAnsi="Times New Roman"/>
          <w:spacing w:val="-8"/>
          <w:sz w:val="24"/>
          <w:szCs w:val="24"/>
        </w:rPr>
        <w:t>a Tabela 2</w:t>
      </w:r>
      <w:r w:rsidRPr="00FD6136">
        <w:rPr>
          <w:rFonts w:ascii="Times New Roman" w:hAnsi="Times New Roman"/>
          <w:spacing w:val="-8"/>
          <w:sz w:val="24"/>
          <w:szCs w:val="24"/>
        </w:rPr>
        <w:t xml:space="preserve"> e 60 observações, extraídas das demonstrações financeiras de 2010 a 2015. Dentre essas, existem Empresas que utilizam o método do Custo e outras a metodologia do Valor Justo para mensurar as Propriedades para Investimento.</w:t>
      </w:r>
    </w:p>
    <w:p w:rsidR="00C95200" w:rsidRPr="00FD6136" w:rsidRDefault="00C95200"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A variável dependente (METODO_AVALIACAO_PPI) é uma variável (dummy) na qual foi atribuído 0 (zero) para empresas que utilizam o método do custo e 1 (um) para empresas que utilizam o método do valor justo. As variáveis explanatórias (independentes) presentes no modelo e as definições escolhidas estão descritas </w:t>
      </w:r>
      <w:r w:rsidR="00D23005" w:rsidRPr="00FD6136">
        <w:rPr>
          <w:rFonts w:ascii="Times New Roman" w:hAnsi="Times New Roman"/>
          <w:spacing w:val="-8"/>
          <w:sz w:val="24"/>
          <w:szCs w:val="24"/>
        </w:rPr>
        <w:t>na Tabela 2</w:t>
      </w:r>
      <w:r w:rsidRPr="00FD6136">
        <w:rPr>
          <w:rFonts w:ascii="Times New Roman" w:hAnsi="Times New Roman"/>
          <w:spacing w:val="-8"/>
          <w:sz w:val="24"/>
          <w:szCs w:val="24"/>
        </w:rPr>
        <w:t>.</w:t>
      </w:r>
    </w:p>
    <w:p w:rsidR="008B64A2" w:rsidRDefault="008B64A2" w:rsidP="00FD6136">
      <w:pPr>
        <w:ind w:firstLine="709"/>
        <w:jc w:val="both"/>
        <w:rPr>
          <w:rFonts w:ascii="Times New Roman" w:hAnsi="Times New Roman"/>
          <w:spacing w:val="-8"/>
          <w:sz w:val="24"/>
          <w:szCs w:val="24"/>
        </w:rPr>
      </w:pPr>
    </w:p>
    <w:p w:rsidR="00EB7484" w:rsidRDefault="00D23005" w:rsidP="00EB7484">
      <w:pPr>
        <w:ind w:left="851" w:hanging="142"/>
        <w:jc w:val="center"/>
        <w:rPr>
          <w:rFonts w:ascii="Times New Roman" w:hAnsi="Times New Roman"/>
          <w:b/>
          <w:spacing w:val="-8"/>
          <w:sz w:val="20"/>
          <w:szCs w:val="20"/>
        </w:rPr>
      </w:pPr>
      <w:r w:rsidRPr="00C91A25">
        <w:rPr>
          <w:rFonts w:ascii="Times New Roman" w:hAnsi="Times New Roman"/>
          <w:b/>
          <w:spacing w:val="-8"/>
          <w:sz w:val="20"/>
          <w:szCs w:val="20"/>
        </w:rPr>
        <w:t>Tabela 2</w:t>
      </w:r>
    </w:p>
    <w:p w:rsidR="00C95200" w:rsidRPr="00EB7484" w:rsidRDefault="00C95200" w:rsidP="00EB7484">
      <w:pPr>
        <w:ind w:left="851" w:hanging="142"/>
        <w:jc w:val="center"/>
        <w:rPr>
          <w:rFonts w:ascii="Times New Roman" w:hAnsi="Times New Roman"/>
          <w:spacing w:val="-8"/>
          <w:sz w:val="20"/>
          <w:szCs w:val="20"/>
        </w:rPr>
      </w:pPr>
      <w:r w:rsidRPr="00EB7484">
        <w:rPr>
          <w:rFonts w:ascii="Times New Roman" w:hAnsi="Times New Roman"/>
          <w:spacing w:val="-8"/>
          <w:sz w:val="20"/>
          <w:szCs w:val="20"/>
        </w:rPr>
        <w:t>Variáveis Independentes (Explicativas)</w:t>
      </w:r>
    </w:p>
    <w:tbl>
      <w:tblPr>
        <w:tblW w:w="0" w:type="auto"/>
        <w:tblInd w:w="284" w:type="dxa"/>
        <w:tblLook w:val="04A0" w:firstRow="1" w:lastRow="0" w:firstColumn="1" w:lastColumn="0" w:noHBand="0" w:noVBand="1"/>
      </w:tblPr>
      <w:tblGrid>
        <w:gridCol w:w="1424"/>
        <w:gridCol w:w="1450"/>
        <w:gridCol w:w="5913"/>
      </w:tblGrid>
      <w:tr w:rsidR="003768F8" w:rsidRPr="00C91A25" w:rsidTr="00FA234B">
        <w:tc>
          <w:tcPr>
            <w:tcW w:w="0" w:type="auto"/>
            <w:tcBorders>
              <w:top w:val="single" w:sz="4" w:space="0" w:color="auto"/>
              <w:bottom w:val="single" w:sz="4" w:space="0" w:color="auto"/>
            </w:tcBorders>
            <w:shd w:val="clear" w:color="auto" w:fill="auto"/>
            <w:vAlign w:val="center"/>
          </w:tcPr>
          <w:p w:rsidR="00C95200" w:rsidRPr="00C91A25" w:rsidRDefault="00C95200" w:rsidP="00EA5146">
            <w:pPr>
              <w:spacing w:before="60" w:after="60"/>
              <w:jc w:val="center"/>
              <w:rPr>
                <w:rFonts w:ascii="Times New Roman" w:hAnsi="Times New Roman"/>
                <w:b/>
                <w:spacing w:val="-8"/>
                <w:sz w:val="20"/>
                <w:szCs w:val="20"/>
              </w:rPr>
            </w:pPr>
            <w:r w:rsidRPr="00C91A25">
              <w:rPr>
                <w:rFonts w:ascii="Times New Roman" w:eastAsia="Times New Roman" w:hAnsi="Times New Roman"/>
                <w:b/>
                <w:bCs/>
                <w:color w:val="000000"/>
                <w:sz w:val="20"/>
                <w:szCs w:val="20"/>
                <w:lang w:eastAsia="pt-BR"/>
              </w:rPr>
              <w:t>Variável</w:t>
            </w:r>
          </w:p>
        </w:tc>
        <w:tc>
          <w:tcPr>
            <w:tcW w:w="0" w:type="auto"/>
            <w:tcBorders>
              <w:top w:val="single" w:sz="4" w:space="0" w:color="auto"/>
              <w:bottom w:val="single" w:sz="4" w:space="0" w:color="auto"/>
            </w:tcBorders>
            <w:shd w:val="clear" w:color="auto" w:fill="auto"/>
            <w:vAlign w:val="center"/>
          </w:tcPr>
          <w:p w:rsidR="00C95200" w:rsidRPr="00C91A25" w:rsidRDefault="00C95200" w:rsidP="00EA5146">
            <w:pPr>
              <w:spacing w:before="60" w:after="60"/>
              <w:jc w:val="center"/>
              <w:rPr>
                <w:rFonts w:ascii="Times New Roman" w:hAnsi="Times New Roman"/>
                <w:b/>
                <w:spacing w:val="-8"/>
                <w:sz w:val="20"/>
                <w:szCs w:val="20"/>
              </w:rPr>
            </w:pPr>
            <w:r w:rsidRPr="00C91A25">
              <w:rPr>
                <w:rFonts w:ascii="Times New Roman" w:eastAsia="Times New Roman" w:hAnsi="Times New Roman"/>
                <w:b/>
                <w:bCs/>
                <w:color w:val="000000"/>
                <w:sz w:val="20"/>
                <w:szCs w:val="20"/>
                <w:lang w:eastAsia="pt-BR"/>
              </w:rPr>
              <w:t>Sigla</w:t>
            </w:r>
          </w:p>
        </w:tc>
        <w:tc>
          <w:tcPr>
            <w:tcW w:w="0" w:type="auto"/>
            <w:tcBorders>
              <w:top w:val="single" w:sz="4" w:space="0" w:color="auto"/>
              <w:bottom w:val="single" w:sz="4" w:space="0" w:color="auto"/>
            </w:tcBorders>
            <w:shd w:val="clear" w:color="auto" w:fill="auto"/>
            <w:vAlign w:val="center"/>
          </w:tcPr>
          <w:p w:rsidR="00C95200" w:rsidRPr="00C91A25" w:rsidRDefault="00C95200" w:rsidP="00EA5146">
            <w:pPr>
              <w:spacing w:before="60" w:after="60"/>
              <w:jc w:val="center"/>
              <w:rPr>
                <w:rFonts w:ascii="Times New Roman" w:hAnsi="Times New Roman"/>
                <w:b/>
                <w:spacing w:val="-8"/>
                <w:sz w:val="20"/>
                <w:szCs w:val="20"/>
              </w:rPr>
            </w:pPr>
            <w:r w:rsidRPr="00C91A25">
              <w:rPr>
                <w:rFonts w:ascii="Times New Roman" w:eastAsia="Times New Roman" w:hAnsi="Times New Roman"/>
                <w:b/>
                <w:bCs/>
                <w:color w:val="000000"/>
                <w:sz w:val="20"/>
                <w:szCs w:val="20"/>
                <w:lang w:eastAsia="pt-BR"/>
              </w:rPr>
              <w:t>Definição</w:t>
            </w:r>
          </w:p>
        </w:tc>
      </w:tr>
      <w:tr w:rsidR="003768F8" w:rsidRPr="00C91A25" w:rsidTr="00FA234B">
        <w:tc>
          <w:tcPr>
            <w:tcW w:w="0" w:type="auto"/>
            <w:tcBorders>
              <w:top w:val="single" w:sz="4" w:space="0" w:color="auto"/>
            </w:tcBorders>
            <w:shd w:val="clear" w:color="auto" w:fill="auto"/>
            <w:vAlign w:val="center"/>
          </w:tcPr>
          <w:p w:rsidR="00C95200" w:rsidRPr="00C91A25" w:rsidRDefault="00C95200" w:rsidP="00EA5146">
            <w:pPr>
              <w:spacing w:before="60" w:after="60"/>
              <w:jc w:val="both"/>
              <w:rPr>
                <w:rFonts w:ascii="Times New Roman" w:hAnsi="Times New Roman"/>
                <w:b/>
                <w:spacing w:val="-8"/>
                <w:sz w:val="20"/>
                <w:szCs w:val="20"/>
              </w:rPr>
            </w:pPr>
            <w:r w:rsidRPr="00C91A25">
              <w:rPr>
                <w:rFonts w:ascii="Times New Roman" w:hAnsi="Times New Roman"/>
                <w:b/>
                <w:spacing w:val="-8"/>
                <w:sz w:val="20"/>
                <w:szCs w:val="20"/>
              </w:rPr>
              <w:t>Porte</w:t>
            </w:r>
          </w:p>
        </w:tc>
        <w:tc>
          <w:tcPr>
            <w:tcW w:w="0" w:type="auto"/>
            <w:tcBorders>
              <w:top w:val="single" w:sz="4" w:space="0" w:color="auto"/>
            </w:tcBorders>
            <w:shd w:val="clear" w:color="auto" w:fill="auto"/>
            <w:vAlign w:val="center"/>
          </w:tcPr>
          <w:p w:rsidR="00C95200" w:rsidRPr="00C91A25" w:rsidRDefault="00C95200" w:rsidP="00EA5146">
            <w:pPr>
              <w:spacing w:before="60" w:after="60"/>
              <w:rPr>
                <w:rFonts w:ascii="Times New Roman" w:hAnsi="Times New Roman"/>
                <w:b/>
                <w:spacing w:val="-8"/>
                <w:sz w:val="20"/>
                <w:szCs w:val="20"/>
              </w:rPr>
            </w:pPr>
            <w:r w:rsidRPr="00C91A25">
              <w:rPr>
                <w:rFonts w:ascii="Times New Roman" w:eastAsia="Times New Roman" w:hAnsi="Times New Roman"/>
                <w:color w:val="000000"/>
                <w:sz w:val="20"/>
                <w:szCs w:val="20"/>
                <w:lang w:eastAsia="pt-BR"/>
              </w:rPr>
              <w:t>LN_ ATIVO</w:t>
            </w:r>
          </w:p>
        </w:tc>
        <w:tc>
          <w:tcPr>
            <w:tcW w:w="0" w:type="auto"/>
            <w:tcBorders>
              <w:top w:val="single" w:sz="4" w:space="0" w:color="auto"/>
            </w:tcBorders>
            <w:shd w:val="clear" w:color="auto" w:fill="auto"/>
            <w:vAlign w:val="center"/>
          </w:tcPr>
          <w:p w:rsidR="00C95200" w:rsidRPr="00C91A25" w:rsidRDefault="00C95200" w:rsidP="00EA5146">
            <w:pPr>
              <w:spacing w:before="60" w:after="60"/>
              <w:ind w:firstLine="34"/>
              <w:jc w:val="both"/>
              <w:rPr>
                <w:rFonts w:ascii="Times New Roman" w:hAnsi="Times New Roman"/>
                <w:b/>
                <w:spacing w:val="-8"/>
                <w:sz w:val="20"/>
                <w:szCs w:val="20"/>
              </w:rPr>
            </w:pPr>
            <w:r w:rsidRPr="00C91A25">
              <w:rPr>
                <w:rFonts w:ascii="Times New Roman" w:eastAsia="Times New Roman" w:hAnsi="Times New Roman"/>
                <w:color w:val="000000"/>
                <w:sz w:val="20"/>
                <w:szCs w:val="20"/>
                <w:lang w:eastAsia="pt-BR"/>
              </w:rPr>
              <w:t>Logaritmo do Ativo Total.</w:t>
            </w:r>
          </w:p>
        </w:tc>
      </w:tr>
      <w:tr w:rsidR="003768F8" w:rsidRPr="00C91A25" w:rsidTr="00FA234B">
        <w:tc>
          <w:tcPr>
            <w:tcW w:w="0" w:type="auto"/>
            <w:shd w:val="clear" w:color="auto" w:fill="auto"/>
          </w:tcPr>
          <w:p w:rsidR="00C95200" w:rsidRPr="00C91A25" w:rsidRDefault="00C95200" w:rsidP="00EA5146">
            <w:pPr>
              <w:spacing w:before="60" w:after="60"/>
              <w:jc w:val="both"/>
              <w:rPr>
                <w:rFonts w:ascii="Times New Roman" w:hAnsi="Times New Roman"/>
                <w:b/>
                <w:spacing w:val="-8"/>
                <w:sz w:val="20"/>
                <w:szCs w:val="20"/>
              </w:rPr>
            </w:pPr>
            <w:r w:rsidRPr="00C91A25">
              <w:rPr>
                <w:rFonts w:ascii="Times New Roman" w:hAnsi="Times New Roman"/>
                <w:b/>
                <w:spacing w:val="-8"/>
                <w:sz w:val="20"/>
                <w:szCs w:val="20"/>
              </w:rPr>
              <w:t>Endividamento</w:t>
            </w:r>
          </w:p>
        </w:tc>
        <w:tc>
          <w:tcPr>
            <w:tcW w:w="0" w:type="auto"/>
            <w:shd w:val="clear" w:color="auto" w:fill="auto"/>
            <w:vAlign w:val="center"/>
          </w:tcPr>
          <w:p w:rsidR="00C95200" w:rsidRPr="00C91A25" w:rsidRDefault="00C95200" w:rsidP="00EA5146">
            <w:pPr>
              <w:spacing w:before="60" w:after="60"/>
              <w:rPr>
                <w:rFonts w:ascii="Times New Roman" w:hAnsi="Times New Roman"/>
                <w:b/>
                <w:spacing w:val="-8"/>
                <w:sz w:val="20"/>
                <w:szCs w:val="20"/>
              </w:rPr>
            </w:pPr>
            <w:r w:rsidRPr="00C91A25">
              <w:rPr>
                <w:rFonts w:ascii="Times New Roman" w:eastAsia="Times New Roman" w:hAnsi="Times New Roman"/>
                <w:color w:val="000000"/>
                <w:sz w:val="20"/>
                <w:szCs w:val="20"/>
                <w:lang w:eastAsia="pt-BR"/>
              </w:rPr>
              <w:t>%_ENDIV</w:t>
            </w:r>
          </w:p>
        </w:tc>
        <w:tc>
          <w:tcPr>
            <w:tcW w:w="0" w:type="auto"/>
            <w:shd w:val="clear" w:color="auto" w:fill="auto"/>
            <w:vAlign w:val="center"/>
          </w:tcPr>
          <w:p w:rsidR="00C95200" w:rsidRPr="00C91A25" w:rsidRDefault="00C95200" w:rsidP="00EA5146">
            <w:pPr>
              <w:spacing w:before="60" w:after="60"/>
              <w:ind w:firstLine="34"/>
              <w:jc w:val="both"/>
              <w:rPr>
                <w:rFonts w:ascii="Times New Roman" w:hAnsi="Times New Roman"/>
                <w:b/>
                <w:spacing w:val="-8"/>
                <w:sz w:val="20"/>
                <w:szCs w:val="20"/>
              </w:rPr>
            </w:pPr>
            <w:r w:rsidRPr="00C91A25">
              <w:rPr>
                <w:rFonts w:ascii="Times New Roman" w:eastAsia="Times New Roman" w:hAnsi="Times New Roman"/>
                <w:color w:val="000000"/>
                <w:sz w:val="20"/>
                <w:szCs w:val="20"/>
                <w:lang w:eastAsia="pt-BR"/>
              </w:rPr>
              <w:t>Dívida total dividida pelo Patrimônio Líquido.</w:t>
            </w:r>
          </w:p>
        </w:tc>
      </w:tr>
      <w:tr w:rsidR="003768F8" w:rsidRPr="00C91A25" w:rsidTr="00FA234B">
        <w:tc>
          <w:tcPr>
            <w:tcW w:w="0" w:type="auto"/>
            <w:shd w:val="clear" w:color="auto" w:fill="auto"/>
          </w:tcPr>
          <w:p w:rsidR="00C95200" w:rsidRPr="00C91A25" w:rsidRDefault="00C95200" w:rsidP="00EA5146">
            <w:pPr>
              <w:spacing w:before="60" w:after="60"/>
              <w:jc w:val="both"/>
              <w:rPr>
                <w:rFonts w:ascii="Times New Roman" w:hAnsi="Times New Roman"/>
                <w:b/>
                <w:spacing w:val="-8"/>
                <w:sz w:val="20"/>
                <w:szCs w:val="20"/>
              </w:rPr>
            </w:pPr>
            <w:r w:rsidRPr="00C91A25">
              <w:rPr>
                <w:rFonts w:ascii="Times New Roman" w:hAnsi="Times New Roman"/>
                <w:b/>
                <w:spacing w:val="-8"/>
                <w:sz w:val="20"/>
                <w:szCs w:val="20"/>
              </w:rPr>
              <w:t>Rentabilidade</w:t>
            </w:r>
          </w:p>
        </w:tc>
        <w:tc>
          <w:tcPr>
            <w:tcW w:w="0" w:type="auto"/>
            <w:shd w:val="clear" w:color="auto" w:fill="auto"/>
            <w:vAlign w:val="center"/>
          </w:tcPr>
          <w:p w:rsidR="00C95200" w:rsidRPr="00C91A25" w:rsidRDefault="00C95200" w:rsidP="00EA5146">
            <w:pPr>
              <w:spacing w:before="60" w:after="60"/>
              <w:rPr>
                <w:rFonts w:ascii="Times New Roman" w:hAnsi="Times New Roman"/>
                <w:b/>
                <w:spacing w:val="-8"/>
                <w:sz w:val="20"/>
                <w:szCs w:val="20"/>
              </w:rPr>
            </w:pPr>
            <w:r w:rsidRPr="00C91A25">
              <w:rPr>
                <w:rFonts w:ascii="Times New Roman" w:eastAsia="Times New Roman" w:hAnsi="Times New Roman"/>
                <w:color w:val="000000"/>
                <w:sz w:val="20"/>
                <w:szCs w:val="20"/>
                <w:lang w:eastAsia="pt-BR"/>
              </w:rPr>
              <w:t>ROE</w:t>
            </w:r>
          </w:p>
        </w:tc>
        <w:tc>
          <w:tcPr>
            <w:tcW w:w="0" w:type="auto"/>
            <w:shd w:val="clear" w:color="auto" w:fill="auto"/>
            <w:vAlign w:val="center"/>
          </w:tcPr>
          <w:p w:rsidR="00C95200" w:rsidRPr="00C91A25" w:rsidRDefault="00C95200" w:rsidP="00EA5146">
            <w:pPr>
              <w:spacing w:before="60" w:after="60"/>
              <w:ind w:firstLine="34"/>
              <w:jc w:val="both"/>
              <w:rPr>
                <w:rFonts w:ascii="Times New Roman" w:hAnsi="Times New Roman"/>
                <w:b/>
                <w:spacing w:val="-8"/>
                <w:sz w:val="20"/>
                <w:szCs w:val="20"/>
              </w:rPr>
            </w:pPr>
            <w:r w:rsidRPr="00C91A25">
              <w:rPr>
                <w:rFonts w:ascii="Times New Roman" w:eastAsia="Times New Roman" w:hAnsi="Times New Roman"/>
                <w:color w:val="000000"/>
                <w:sz w:val="20"/>
                <w:szCs w:val="20"/>
                <w:lang w:eastAsia="pt-BR"/>
              </w:rPr>
              <w:t>Lucro Líquido dividido pelo Patrimônio Líquido.</w:t>
            </w:r>
          </w:p>
        </w:tc>
      </w:tr>
      <w:tr w:rsidR="003768F8" w:rsidRPr="00C91A25" w:rsidTr="00FA234B">
        <w:tc>
          <w:tcPr>
            <w:tcW w:w="0" w:type="auto"/>
            <w:shd w:val="clear" w:color="auto" w:fill="auto"/>
          </w:tcPr>
          <w:p w:rsidR="00C95200" w:rsidRPr="00C91A25" w:rsidRDefault="00C95200" w:rsidP="00EA5146">
            <w:pPr>
              <w:spacing w:before="60" w:after="60"/>
              <w:jc w:val="both"/>
              <w:rPr>
                <w:rFonts w:ascii="Times New Roman" w:hAnsi="Times New Roman"/>
                <w:b/>
                <w:spacing w:val="-8"/>
                <w:sz w:val="20"/>
                <w:szCs w:val="20"/>
              </w:rPr>
            </w:pPr>
            <w:r w:rsidRPr="00C91A25">
              <w:rPr>
                <w:rFonts w:ascii="Times New Roman" w:hAnsi="Times New Roman"/>
                <w:b/>
                <w:spacing w:val="-8"/>
                <w:sz w:val="20"/>
                <w:szCs w:val="20"/>
              </w:rPr>
              <w:t>Resultado</w:t>
            </w:r>
          </w:p>
        </w:tc>
        <w:tc>
          <w:tcPr>
            <w:tcW w:w="0" w:type="auto"/>
            <w:shd w:val="clear" w:color="auto" w:fill="auto"/>
            <w:vAlign w:val="center"/>
          </w:tcPr>
          <w:p w:rsidR="00C95200" w:rsidRPr="00C91A25" w:rsidRDefault="00C95200" w:rsidP="00EA5146">
            <w:pPr>
              <w:spacing w:before="60" w:after="60"/>
              <w:rPr>
                <w:rFonts w:ascii="Times New Roman" w:hAnsi="Times New Roman"/>
                <w:b/>
                <w:spacing w:val="-8"/>
                <w:sz w:val="20"/>
                <w:szCs w:val="20"/>
              </w:rPr>
            </w:pPr>
            <w:r w:rsidRPr="00C91A25">
              <w:rPr>
                <w:rFonts w:ascii="Times New Roman" w:eastAsia="Times New Roman" w:hAnsi="Times New Roman"/>
                <w:color w:val="000000"/>
                <w:sz w:val="20"/>
                <w:szCs w:val="20"/>
                <w:lang w:eastAsia="pt-BR"/>
              </w:rPr>
              <w:t>LUCRO</w:t>
            </w:r>
          </w:p>
        </w:tc>
        <w:tc>
          <w:tcPr>
            <w:tcW w:w="0" w:type="auto"/>
            <w:shd w:val="clear" w:color="auto" w:fill="auto"/>
            <w:vAlign w:val="center"/>
          </w:tcPr>
          <w:p w:rsidR="00C95200" w:rsidRPr="00C91A25" w:rsidRDefault="00C95200" w:rsidP="00EA5146">
            <w:pPr>
              <w:spacing w:before="60" w:after="60"/>
              <w:ind w:firstLine="34"/>
              <w:jc w:val="both"/>
              <w:rPr>
                <w:rFonts w:ascii="Times New Roman" w:hAnsi="Times New Roman"/>
                <w:b/>
                <w:spacing w:val="-8"/>
                <w:sz w:val="20"/>
                <w:szCs w:val="20"/>
              </w:rPr>
            </w:pPr>
            <w:r w:rsidRPr="00C91A25">
              <w:rPr>
                <w:rFonts w:ascii="Times New Roman" w:eastAsia="Times New Roman" w:hAnsi="Times New Roman"/>
                <w:color w:val="000000"/>
                <w:sz w:val="20"/>
                <w:szCs w:val="20"/>
                <w:lang w:eastAsia="pt-BR"/>
              </w:rPr>
              <w:t>Lucro Líquido.</w:t>
            </w:r>
          </w:p>
        </w:tc>
      </w:tr>
      <w:tr w:rsidR="003768F8" w:rsidRPr="00C91A25" w:rsidTr="00FA234B">
        <w:tc>
          <w:tcPr>
            <w:tcW w:w="0" w:type="auto"/>
            <w:tcBorders>
              <w:bottom w:val="single" w:sz="4" w:space="0" w:color="auto"/>
            </w:tcBorders>
            <w:shd w:val="clear" w:color="auto" w:fill="auto"/>
          </w:tcPr>
          <w:p w:rsidR="00C95200" w:rsidRPr="00C91A25" w:rsidRDefault="00C95200" w:rsidP="00EA5146">
            <w:pPr>
              <w:spacing w:before="60" w:after="60"/>
              <w:jc w:val="both"/>
              <w:rPr>
                <w:rFonts w:ascii="Times New Roman" w:hAnsi="Times New Roman"/>
                <w:b/>
                <w:spacing w:val="-8"/>
                <w:sz w:val="20"/>
                <w:szCs w:val="20"/>
              </w:rPr>
            </w:pPr>
            <w:r w:rsidRPr="00C91A25">
              <w:rPr>
                <w:rFonts w:ascii="Times New Roman" w:hAnsi="Times New Roman"/>
                <w:b/>
                <w:spacing w:val="-8"/>
                <w:sz w:val="20"/>
                <w:szCs w:val="20"/>
              </w:rPr>
              <w:t>Dividendos</w:t>
            </w:r>
          </w:p>
        </w:tc>
        <w:tc>
          <w:tcPr>
            <w:tcW w:w="0" w:type="auto"/>
            <w:tcBorders>
              <w:bottom w:val="single" w:sz="4" w:space="0" w:color="auto"/>
            </w:tcBorders>
            <w:shd w:val="clear" w:color="auto" w:fill="auto"/>
            <w:vAlign w:val="center"/>
          </w:tcPr>
          <w:p w:rsidR="00C95200" w:rsidRPr="00C91A25" w:rsidRDefault="00C95200" w:rsidP="00EA5146">
            <w:pPr>
              <w:spacing w:before="60" w:after="60"/>
              <w:rPr>
                <w:rFonts w:ascii="Times New Roman" w:eastAsia="Times New Roman" w:hAnsi="Times New Roman"/>
                <w:color w:val="000000"/>
                <w:sz w:val="20"/>
                <w:szCs w:val="20"/>
                <w:lang w:eastAsia="pt-BR"/>
              </w:rPr>
            </w:pPr>
            <w:r w:rsidRPr="00C91A25">
              <w:rPr>
                <w:rFonts w:ascii="Times New Roman" w:eastAsia="Times New Roman" w:hAnsi="Times New Roman"/>
                <w:color w:val="000000"/>
                <w:sz w:val="20"/>
                <w:szCs w:val="20"/>
                <w:lang w:eastAsia="pt-BR"/>
              </w:rPr>
              <w:t>DIVIDENDOS</w:t>
            </w:r>
          </w:p>
        </w:tc>
        <w:tc>
          <w:tcPr>
            <w:tcW w:w="0" w:type="auto"/>
            <w:tcBorders>
              <w:bottom w:val="single" w:sz="4" w:space="0" w:color="auto"/>
            </w:tcBorders>
            <w:shd w:val="clear" w:color="auto" w:fill="auto"/>
            <w:vAlign w:val="center"/>
          </w:tcPr>
          <w:p w:rsidR="00C95200" w:rsidRPr="00C91A25" w:rsidRDefault="00C95200" w:rsidP="00EA5146">
            <w:pPr>
              <w:spacing w:before="60" w:after="60"/>
              <w:ind w:firstLine="34"/>
              <w:jc w:val="both"/>
              <w:rPr>
                <w:rFonts w:ascii="Times New Roman" w:eastAsia="Times New Roman" w:hAnsi="Times New Roman"/>
                <w:color w:val="000000"/>
                <w:sz w:val="20"/>
                <w:szCs w:val="20"/>
                <w:lang w:eastAsia="pt-BR"/>
              </w:rPr>
            </w:pPr>
            <w:r w:rsidRPr="00C91A25">
              <w:rPr>
                <w:rFonts w:ascii="Times New Roman" w:eastAsia="Times New Roman" w:hAnsi="Times New Roman"/>
                <w:color w:val="000000"/>
                <w:sz w:val="20"/>
                <w:szCs w:val="20"/>
                <w:lang w:eastAsia="pt-BR"/>
              </w:rPr>
              <w:t>Montante de Dividendos e Juros sobre o Capital Próprio pagos no período.</w:t>
            </w:r>
          </w:p>
        </w:tc>
      </w:tr>
    </w:tbl>
    <w:p w:rsidR="00C95200" w:rsidRPr="00C91A25" w:rsidRDefault="00C95200" w:rsidP="00EA5146">
      <w:pPr>
        <w:spacing w:before="60" w:after="60"/>
        <w:ind w:left="708" w:firstLine="1"/>
        <w:jc w:val="both"/>
        <w:rPr>
          <w:rFonts w:ascii="Times New Roman" w:hAnsi="Times New Roman"/>
          <w:spacing w:val="-8"/>
          <w:sz w:val="20"/>
          <w:szCs w:val="20"/>
        </w:rPr>
      </w:pPr>
      <w:r w:rsidRPr="00C91A25">
        <w:rPr>
          <w:rFonts w:ascii="Times New Roman" w:hAnsi="Times New Roman"/>
          <w:spacing w:val="-8"/>
          <w:sz w:val="20"/>
          <w:szCs w:val="20"/>
        </w:rPr>
        <w:t>Fonte: Elaborado pelos autores.</w:t>
      </w:r>
    </w:p>
    <w:p w:rsidR="00043DB6" w:rsidRPr="00C91A25" w:rsidRDefault="00043DB6" w:rsidP="00C95200">
      <w:pPr>
        <w:ind w:firstLine="567"/>
        <w:rPr>
          <w:rFonts w:ascii="Times New Roman" w:hAnsi="Times New Roman"/>
          <w:spacing w:val="-8"/>
          <w:sz w:val="24"/>
          <w:szCs w:val="24"/>
        </w:rPr>
      </w:pPr>
    </w:p>
    <w:p w:rsidR="00C95200" w:rsidRPr="00FC066A" w:rsidRDefault="00D31D56" w:rsidP="00D31D56">
      <w:pPr>
        <w:numPr>
          <w:ilvl w:val="0"/>
          <w:numId w:val="3"/>
        </w:numPr>
        <w:ind w:left="284" w:hanging="284"/>
        <w:rPr>
          <w:rFonts w:ascii="Times New Roman" w:hAnsi="Times New Roman"/>
          <w:b/>
          <w:caps/>
          <w:sz w:val="24"/>
          <w:szCs w:val="24"/>
        </w:rPr>
      </w:pPr>
      <w:r w:rsidRPr="00FC066A">
        <w:rPr>
          <w:rFonts w:ascii="Times New Roman" w:hAnsi="Times New Roman"/>
          <w:b/>
          <w:caps/>
          <w:spacing w:val="-8"/>
          <w:sz w:val="24"/>
          <w:szCs w:val="24"/>
        </w:rPr>
        <w:t>Análise dos resultados</w:t>
      </w:r>
    </w:p>
    <w:p w:rsidR="0097298B" w:rsidRPr="00F345DA" w:rsidRDefault="0097298B" w:rsidP="00B57FD7">
      <w:pPr>
        <w:pStyle w:val="PargrafodaLista"/>
        <w:tabs>
          <w:tab w:val="left" w:pos="284"/>
        </w:tabs>
        <w:spacing w:after="0" w:line="240" w:lineRule="auto"/>
        <w:jc w:val="both"/>
        <w:rPr>
          <w:rFonts w:ascii="Times New Roman" w:hAnsi="Times New Roman"/>
          <w:b/>
          <w:sz w:val="24"/>
          <w:szCs w:val="24"/>
        </w:rPr>
      </w:pPr>
    </w:p>
    <w:p w:rsidR="00C95200" w:rsidRPr="00FD6136" w:rsidRDefault="00C95200"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Antes do procedimento estatístico</w:t>
      </w:r>
      <w:r w:rsidR="00A07662" w:rsidRPr="00FD6136">
        <w:rPr>
          <w:rFonts w:ascii="Times New Roman" w:hAnsi="Times New Roman"/>
          <w:spacing w:val="-8"/>
          <w:sz w:val="24"/>
          <w:szCs w:val="24"/>
        </w:rPr>
        <w:t xml:space="preserve"> da regressão logística</w:t>
      </w:r>
      <w:r w:rsidRPr="00FD6136">
        <w:rPr>
          <w:rFonts w:ascii="Times New Roman" w:hAnsi="Times New Roman"/>
          <w:spacing w:val="-8"/>
          <w:sz w:val="24"/>
          <w:szCs w:val="24"/>
        </w:rPr>
        <w:t xml:space="preserve"> foram testados os pressupostos para utilização. Adotou-se o modelo de regressão logística robusta para correção dos erros no que tange a heterocedasticidade. Além disso, testou-se o pressuposto da multicolineraridade, por meio do fator de inflação de variância (VIF). Os resultados apontam para a ausência de multicolinearidade, conforme Tabela </w:t>
      </w:r>
      <w:r w:rsidR="00C43F1E" w:rsidRPr="00FD6136">
        <w:rPr>
          <w:rFonts w:ascii="Times New Roman" w:hAnsi="Times New Roman"/>
          <w:spacing w:val="-8"/>
          <w:sz w:val="24"/>
          <w:szCs w:val="24"/>
        </w:rPr>
        <w:t>3</w:t>
      </w:r>
      <w:r w:rsidRPr="00FD6136">
        <w:rPr>
          <w:rFonts w:ascii="Times New Roman" w:hAnsi="Times New Roman"/>
          <w:spacing w:val="-8"/>
          <w:sz w:val="24"/>
          <w:szCs w:val="24"/>
        </w:rPr>
        <w:t>.</w:t>
      </w:r>
    </w:p>
    <w:p w:rsidR="00C95200" w:rsidRPr="00FD6136" w:rsidRDefault="00C95200" w:rsidP="00FD6136">
      <w:pPr>
        <w:ind w:firstLine="709"/>
        <w:jc w:val="both"/>
        <w:rPr>
          <w:rFonts w:ascii="Times New Roman" w:hAnsi="Times New Roman"/>
          <w:spacing w:val="-8"/>
          <w:sz w:val="24"/>
          <w:szCs w:val="24"/>
        </w:rPr>
      </w:pPr>
    </w:p>
    <w:p w:rsidR="00EB7484" w:rsidRDefault="00C95200" w:rsidP="00EB7484">
      <w:pPr>
        <w:pStyle w:val="Legenda"/>
        <w:jc w:val="center"/>
        <w:rPr>
          <w:rFonts w:ascii="Times New Roman" w:hAnsi="Times New Roman"/>
          <w:b/>
          <w:i w:val="0"/>
          <w:color w:val="auto"/>
          <w:sz w:val="20"/>
          <w:szCs w:val="20"/>
        </w:rPr>
      </w:pPr>
      <w:bookmarkStart w:id="1" w:name="_Ref456133849"/>
      <w:r w:rsidRPr="00C91A25">
        <w:rPr>
          <w:rFonts w:ascii="Times New Roman" w:hAnsi="Times New Roman"/>
          <w:b/>
          <w:i w:val="0"/>
          <w:color w:val="auto"/>
          <w:sz w:val="20"/>
          <w:szCs w:val="20"/>
        </w:rPr>
        <w:lastRenderedPageBreak/>
        <w:t xml:space="preserve">Tabela </w:t>
      </w:r>
      <w:r w:rsidR="00C43F1E" w:rsidRPr="00C91A25">
        <w:rPr>
          <w:rFonts w:ascii="Times New Roman" w:hAnsi="Times New Roman"/>
          <w:b/>
          <w:i w:val="0"/>
          <w:color w:val="auto"/>
          <w:sz w:val="20"/>
          <w:szCs w:val="20"/>
        </w:rPr>
        <w:t>3</w:t>
      </w:r>
    </w:p>
    <w:p w:rsidR="00C95200" w:rsidRPr="00EB7484" w:rsidRDefault="00C95200" w:rsidP="00EB7484">
      <w:pPr>
        <w:pStyle w:val="Legenda"/>
        <w:jc w:val="center"/>
        <w:rPr>
          <w:rFonts w:ascii="Times New Roman" w:hAnsi="Times New Roman"/>
          <w:i w:val="0"/>
          <w:color w:val="auto"/>
          <w:sz w:val="20"/>
          <w:szCs w:val="20"/>
        </w:rPr>
      </w:pPr>
      <w:r w:rsidRPr="00EB7484">
        <w:rPr>
          <w:rFonts w:ascii="Times New Roman" w:hAnsi="Times New Roman"/>
          <w:i w:val="0"/>
          <w:color w:val="auto"/>
          <w:sz w:val="20"/>
          <w:szCs w:val="20"/>
        </w:rPr>
        <w:t>Teste de Multicolinearidade</w:t>
      </w:r>
    </w:p>
    <w:tbl>
      <w:tblPr>
        <w:tblW w:w="4070" w:type="dxa"/>
        <w:jc w:val="center"/>
        <w:tblCellMar>
          <w:left w:w="70" w:type="dxa"/>
          <w:right w:w="70" w:type="dxa"/>
        </w:tblCellMar>
        <w:tblLook w:val="04A0" w:firstRow="1" w:lastRow="0" w:firstColumn="1" w:lastColumn="0" w:noHBand="0" w:noVBand="1"/>
      </w:tblPr>
      <w:tblGrid>
        <w:gridCol w:w="2085"/>
        <w:gridCol w:w="1985"/>
      </w:tblGrid>
      <w:tr w:rsidR="00C95200" w:rsidRPr="00EA5146" w:rsidTr="00847921">
        <w:trPr>
          <w:trHeight w:val="615"/>
          <w:jc w:val="center"/>
        </w:trPr>
        <w:tc>
          <w:tcPr>
            <w:tcW w:w="2085" w:type="dxa"/>
            <w:tcBorders>
              <w:top w:val="single" w:sz="4" w:space="0" w:color="auto"/>
              <w:left w:val="nil"/>
              <w:bottom w:val="single" w:sz="4" w:space="0" w:color="auto"/>
              <w:right w:val="single" w:sz="4" w:space="0" w:color="auto"/>
            </w:tcBorders>
            <w:shd w:val="clear" w:color="auto" w:fill="auto"/>
            <w:vAlign w:val="center"/>
            <w:hideMark/>
          </w:tcPr>
          <w:p w:rsidR="00C95200" w:rsidRPr="00C91A25" w:rsidRDefault="00C95200" w:rsidP="00EA5146">
            <w:pPr>
              <w:spacing w:before="60" w:after="60"/>
              <w:jc w:val="center"/>
              <w:rPr>
                <w:rFonts w:ascii="Times New Roman" w:eastAsia="Times New Roman" w:hAnsi="Times New Roman"/>
                <w:b/>
                <w:bCs/>
                <w:color w:val="000000"/>
                <w:sz w:val="20"/>
                <w:szCs w:val="20"/>
                <w:lang w:eastAsia="pt-BR"/>
              </w:rPr>
            </w:pPr>
            <w:r w:rsidRPr="00C91A25">
              <w:rPr>
                <w:rFonts w:ascii="Times New Roman" w:eastAsia="Times New Roman" w:hAnsi="Times New Roman"/>
                <w:b/>
                <w:bCs/>
                <w:color w:val="000000"/>
                <w:sz w:val="20"/>
                <w:szCs w:val="20"/>
                <w:lang w:eastAsia="pt-BR"/>
              </w:rPr>
              <w:t>Modelo</w:t>
            </w:r>
          </w:p>
        </w:tc>
        <w:tc>
          <w:tcPr>
            <w:tcW w:w="1985" w:type="dxa"/>
            <w:tcBorders>
              <w:top w:val="single" w:sz="4" w:space="0" w:color="auto"/>
              <w:left w:val="single" w:sz="4" w:space="0" w:color="auto"/>
              <w:bottom w:val="single" w:sz="4" w:space="0" w:color="auto"/>
              <w:right w:val="nil"/>
            </w:tcBorders>
            <w:shd w:val="clear" w:color="auto" w:fill="auto"/>
            <w:vAlign w:val="center"/>
            <w:hideMark/>
          </w:tcPr>
          <w:p w:rsidR="00C95200" w:rsidRPr="00C91A25" w:rsidRDefault="00C95200" w:rsidP="00EA5146">
            <w:pPr>
              <w:spacing w:before="60" w:after="60"/>
              <w:jc w:val="center"/>
              <w:rPr>
                <w:rFonts w:ascii="Times New Roman" w:eastAsia="Times New Roman" w:hAnsi="Times New Roman"/>
                <w:b/>
                <w:bCs/>
                <w:color w:val="000000"/>
                <w:sz w:val="20"/>
                <w:szCs w:val="20"/>
                <w:lang w:eastAsia="pt-BR"/>
              </w:rPr>
            </w:pPr>
            <w:r w:rsidRPr="00C91A25">
              <w:rPr>
                <w:rFonts w:ascii="Times New Roman" w:eastAsia="Times New Roman" w:hAnsi="Times New Roman"/>
                <w:b/>
                <w:bCs/>
                <w:color w:val="000000"/>
                <w:sz w:val="20"/>
                <w:szCs w:val="20"/>
                <w:lang w:eastAsia="pt-BR"/>
              </w:rPr>
              <w:t>Estatística colinearidade (VIF)</w:t>
            </w:r>
          </w:p>
        </w:tc>
      </w:tr>
      <w:tr w:rsidR="00C95200" w:rsidRPr="00EA5146" w:rsidTr="00847921">
        <w:trPr>
          <w:trHeight w:val="315"/>
          <w:jc w:val="center"/>
        </w:trPr>
        <w:tc>
          <w:tcPr>
            <w:tcW w:w="2085"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Constante</w:t>
            </w:r>
          </w:p>
        </w:tc>
        <w:tc>
          <w:tcPr>
            <w:tcW w:w="1985" w:type="dxa"/>
            <w:tcBorders>
              <w:top w:val="nil"/>
              <w:left w:val="nil"/>
              <w:bottom w:val="nil"/>
              <w:right w:val="nil"/>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p>
        </w:tc>
      </w:tr>
      <w:tr w:rsidR="00C95200" w:rsidRPr="00EA5146" w:rsidTr="00847921">
        <w:trPr>
          <w:trHeight w:val="315"/>
          <w:jc w:val="center"/>
        </w:trPr>
        <w:tc>
          <w:tcPr>
            <w:tcW w:w="2085"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LnAtivo</w:t>
            </w:r>
          </w:p>
        </w:tc>
        <w:tc>
          <w:tcPr>
            <w:tcW w:w="1985" w:type="dxa"/>
            <w:tcBorders>
              <w:top w:val="nil"/>
              <w:left w:val="nil"/>
              <w:bottom w:val="nil"/>
              <w:right w:val="nil"/>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1,001</w:t>
            </w:r>
          </w:p>
        </w:tc>
      </w:tr>
      <w:tr w:rsidR="00C95200" w:rsidRPr="00EA5146" w:rsidTr="00847921">
        <w:trPr>
          <w:trHeight w:val="315"/>
          <w:jc w:val="center"/>
        </w:trPr>
        <w:tc>
          <w:tcPr>
            <w:tcW w:w="2085"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Endividamento</w:t>
            </w:r>
          </w:p>
        </w:tc>
        <w:tc>
          <w:tcPr>
            <w:tcW w:w="1985" w:type="dxa"/>
            <w:tcBorders>
              <w:top w:val="nil"/>
              <w:left w:val="nil"/>
              <w:bottom w:val="nil"/>
              <w:right w:val="nil"/>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1,007</w:t>
            </w:r>
          </w:p>
        </w:tc>
      </w:tr>
      <w:tr w:rsidR="00C95200" w:rsidRPr="00EA5146" w:rsidTr="00847921">
        <w:trPr>
          <w:trHeight w:val="335"/>
          <w:jc w:val="center"/>
        </w:trPr>
        <w:tc>
          <w:tcPr>
            <w:tcW w:w="2085" w:type="dxa"/>
            <w:tcBorders>
              <w:top w:val="nil"/>
              <w:left w:val="nil"/>
              <w:bottom w:val="single" w:sz="4" w:space="0" w:color="auto"/>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ROE</w:t>
            </w:r>
          </w:p>
        </w:tc>
        <w:tc>
          <w:tcPr>
            <w:tcW w:w="1985" w:type="dxa"/>
            <w:tcBorders>
              <w:top w:val="nil"/>
              <w:left w:val="nil"/>
              <w:bottom w:val="single" w:sz="4" w:space="0" w:color="auto"/>
              <w:right w:val="nil"/>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1,007</w:t>
            </w:r>
          </w:p>
        </w:tc>
      </w:tr>
    </w:tbl>
    <w:p w:rsidR="00C95200" w:rsidRPr="00EA5146" w:rsidRDefault="00C95200" w:rsidP="00EA5146">
      <w:pPr>
        <w:spacing w:before="60" w:after="60"/>
        <w:ind w:firstLine="2552"/>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Fonte: Elaborado pelos autores</w:t>
      </w:r>
    </w:p>
    <w:p w:rsidR="00C95200" w:rsidRPr="00C91A25" w:rsidRDefault="00C95200" w:rsidP="00C95200">
      <w:pPr>
        <w:ind w:firstLine="567"/>
        <w:jc w:val="center"/>
        <w:rPr>
          <w:rFonts w:ascii="Times New Roman" w:hAnsi="Times New Roman"/>
          <w:spacing w:val="-8"/>
          <w:sz w:val="20"/>
          <w:szCs w:val="20"/>
        </w:rPr>
      </w:pPr>
    </w:p>
    <w:bookmarkEnd w:id="1"/>
    <w:p w:rsidR="00C95200" w:rsidRPr="00FD6136" w:rsidRDefault="00C95200"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A Tabela </w:t>
      </w:r>
      <w:r w:rsidR="00C43F1E" w:rsidRPr="00FD6136">
        <w:rPr>
          <w:rFonts w:ascii="Times New Roman" w:hAnsi="Times New Roman"/>
          <w:spacing w:val="-8"/>
          <w:sz w:val="24"/>
          <w:szCs w:val="24"/>
        </w:rPr>
        <w:t>4</w:t>
      </w:r>
      <w:r w:rsidR="00255AD6" w:rsidRPr="00FD6136">
        <w:rPr>
          <w:rFonts w:ascii="Times New Roman" w:hAnsi="Times New Roman"/>
          <w:spacing w:val="-8"/>
          <w:sz w:val="24"/>
          <w:szCs w:val="24"/>
        </w:rPr>
        <w:t xml:space="preserve"> </w:t>
      </w:r>
      <w:r w:rsidRPr="00FD6136">
        <w:rPr>
          <w:rFonts w:ascii="Times New Roman" w:hAnsi="Times New Roman"/>
          <w:spacing w:val="-8"/>
          <w:sz w:val="24"/>
          <w:szCs w:val="24"/>
        </w:rPr>
        <w:t xml:space="preserve">apresenta os resultados da estatística multivariada, com base no modelo de Regressão Logística proposto, calculada por meio do Software livre Gretl - Gnu Regression, Econometrics and Time-series Library. </w:t>
      </w:r>
    </w:p>
    <w:p w:rsidR="00E41ABC" w:rsidRPr="00C91A25" w:rsidRDefault="00E41ABC" w:rsidP="00EB7484">
      <w:pPr>
        <w:ind w:firstLine="567"/>
        <w:jc w:val="center"/>
        <w:rPr>
          <w:rFonts w:ascii="Times New Roman" w:hAnsi="Times New Roman"/>
          <w:spacing w:val="-6"/>
          <w:sz w:val="24"/>
          <w:szCs w:val="24"/>
        </w:rPr>
      </w:pPr>
    </w:p>
    <w:p w:rsidR="00EB7484" w:rsidRDefault="00C95200" w:rsidP="00EB7484">
      <w:pPr>
        <w:tabs>
          <w:tab w:val="left" w:pos="2150"/>
        </w:tabs>
        <w:jc w:val="center"/>
        <w:rPr>
          <w:rFonts w:ascii="Times New Roman" w:hAnsi="Times New Roman"/>
          <w:b/>
          <w:spacing w:val="-6"/>
          <w:sz w:val="20"/>
          <w:szCs w:val="20"/>
        </w:rPr>
      </w:pPr>
      <w:r w:rsidRPr="00C91A25">
        <w:rPr>
          <w:rFonts w:ascii="Times New Roman" w:hAnsi="Times New Roman"/>
          <w:b/>
          <w:spacing w:val="-6"/>
          <w:sz w:val="20"/>
          <w:szCs w:val="20"/>
        </w:rPr>
        <w:t xml:space="preserve">Tabela </w:t>
      </w:r>
      <w:r w:rsidR="00C43F1E" w:rsidRPr="00C91A25">
        <w:rPr>
          <w:rFonts w:ascii="Times New Roman" w:hAnsi="Times New Roman"/>
          <w:b/>
          <w:spacing w:val="-6"/>
          <w:sz w:val="20"/>
          <w:szCs w:val="20"/>
        </w:rPr>
        <w:t>4</w:t>
      </w:r>
    </w:p>
    <w:p w:rsidR="00C95200" w:rsidRPr="00EB7484" w:rsidRDefault="00C95200" w:rsidP="00EB7484">
      <w:pPr>
        <w:tabs>
          <w:tab w:val="left" w:pos="2150"/>
        </w:tabs>
        <w:jc w:val="center"/>
        <w:rPr>
          <w:rFonts w:ascii="Times New Roman" w:hAnsi="Times New Roman"/>
          <w:sz w:val="20"/>
          <w:szCs w:val="20"/>
        </w:rPr>
      </w:pPr>
      <w:r w:rsidRPr="00EB7484">
        <w:rPr>
          <w:rFonts w:ascii="Times New Roman" w:hAnsi="Times New Roman"/>
          <w:sz w:val="20"/>
          <w:szCs w:val="20"/>
        </w:rPr>
        <w:t>Resultados da Regressão Logística</w:t>
      </w:r>
    </w:p>
    <w:tbl>
      <w:tblPr>
        <w:tblW w:w="7385" w:type="dxa"/>
        <w:jc w:val="center"/>
        <w:tblCellMar>
          <w:left w:w="70" w:type="dxa"/>
          <w:right w:w="70" w:type="dxa"/>
        </w:tblCellMar>
        <w:tblLook w:val="04A0" w:firstRow="1" w:lastRow="0" w:firstColumn="1" w:lastColumn="0" w:noHBand="0" w:noVBand="1"/>
      </w:tblPr>
      <w:tblGrid>
        <w:gridCol w:w="1567"/>
        <w:gridCol w:w="1655"/>
        <w:gridCol w:w="1410"/>
        <w:gridCol w:w="1459"/>
        <w:gridCol w:w="1294"/>
      </w:tblGrid>
      <w:tr w:rsidR="00C95200" w:rsidRPr="00EA5146" w:rsidTr="00AF77B2">
        <w:trPr>
          <w:trHeight w:val="300"/>
          <w:jc w:val="center"/>
        </w:trPr>
        <w:tc>
          <w:tcPr>
            <w:tcW w:w="1567" w:type="dxa"/>
            <w:tcBorders>
              <w:top w:val="single" w:sz="4" w:space="0" w:color="auto"/>
              <w:left w:val="nil"/>
              <w:bottom w:val="single" w:sz="4" w:space="0" w:color="auto"/>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 </w:t>
            </w:r>
            <w:r w:rsidR="001313ED" w:rsidRPr="00EA5146">
              <w:rPr>
                <w:rFonts w:ascii="Times New Roman" w:eastAsia="Times New Roman" w:hAnsi="Times New Roman"/>
                <w:b/>
                <w:bCs/>
                <w:color w:val="000000"/>
                <w:sz w:val="20"/>
                <w:szCs w:val="20"/>
                <w:lang w:eastAsia="pt-BR"/>
              </w:rPr>
              <w:t>Variáveis</w:t>
            </w:r>
          </w:p>
        </w:tc>
        <w:tc>
          <w:tcPr>
            <w:tcW w:w="1655" w:type="dxa"/>
            <w:tcBorders>
              <w:top w:val="single" w:sz="4" w:space="0" w:color="auto"/>
              <w:left w:val="nil"/>
              <w:bottom w:val="single" w:sz="4" w:space="0" w:color="auto"/>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Coeficientes</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Erro padrão</w:t>
            </w:r>
          </w:p>
        </w:tc>
        <w:tc>
          <w:tcPr>
            <w:tcW w:w="1459" w:type="dxa"/>
            <w:tcBorders>
              <w:top w:val="single" w:sz="4" w:space="0" w:color="auto"/>
              <w:left w:val="nil"/>
              <w:bottom w:val="single" w:sz="4" w:space="0" w:color="auto"/>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z</w:t>
            </w:r>
          </w:p>
        </w:tc>
        <w:tc>
          <w:tcPr>
            <w:tcW w:w="1294" w:type="dxa"/>
            <w:tcBorders>
              <w:top w:val="single" w:sz="4" w:space="0" w:color="auto"/>
              <w:left w:val="nil"/>
              <w:bottom w:val="single" w:sz="4" w:space="0" w:color="auto"/>
              <w:right w:val="nil"/>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p-valor</w:t>
            </w:r>
          </w:p>
        </w:tc>
      </w:tr>
      <w:tr w:rsidR="00C95200" w:rsidRPr="00EA5146" w:rsidTr="00AF77B2">
        <w:trPr>
          <w:trHeight w:val="300"/>
          <w:jc w:val="center"/>
        </w:trPr>
        <w:tc>
          <w:tcPr>
            <w:tcW w:w="1567" w:type="dxa"/>
            <w:tcBorders>
              <w:top w:val="nil"/>
              <w:left w:val="nil"/>
              <w:bottom w:val="nil"/>
              <w:right w:val="single" w:sz="4" w:space="0" w:color="auto"/>
            </w:tcBorders>
            <w:shd w:val="clear" w:color="auto" w:fill="auto"/>
            <w:noWrap/>
            <w:vAlign w:val="bottom"/>
            <w:hideMark/>
          </w:tcPr>
          <w:p w:rsidR="00C95200" w:rsidRPr="00EA5146" w:rsidRDefault="006258E4"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Constante</w:t>
            </w:r>
          </w:p>
        </w:tc>
        <w:tc>
          <w:tcPr>
            <w:tcW w:w="1655"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- 42,8240</w:t>
            </w:r>
          </w:p>
        </w:tc>
        <w:tc>
          <w:tcPr>
            <w:tcW w:w="1410"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7,1954</w:t>
            </w:r>
          </w:p>
        </w:tc>
        <w:tc>
          <w:tcPr>
            <w:tcW w:w="1459"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-5,9520</w:t>
            </w:r>
          </w:p>
        </w:tc>
        <w:tc>
          <w:tcPr>
            <w:tcW w:w="1294" w:type="dxa"/>
            <w:tcBorders>
              <w:top w:val="nil"/>
              <w:left w:val="nil"/>
              <w:bottom w:val="nil"/>
              <w:right w:val="nil"/>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0,0000</w:t>
            </w:r>
          </w:p>
        </w:tc>
      </w:tr>
      <w:tr w:rsidR="00C95200" w:rsidRPr="00EA5146" w:rsidTr="00AF77B2">
        <w:trPr>
          <w:trHeight w:val="300"/>
          <w:jc w:val="center"/>
        </w:trPr>
        <w:tc>
          <w:tcPr>
            <w:tcW w:w="1567"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LnAtivo</w:t>
            </w:r>
          </w:p>
        </w:tc>
        <w:tc>
          <w:tcPr>
            <w:tcW w:w="1655"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3,0306</w:t>
            </w:r>
          </w:p>
        </w:tc>
        <w:tc>
          <w:tcPr>
            <w:tcW w:w="1410"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0,5293</w:t>
            </w:r>
          </w:p>
        </w:tc>
        <w:tc>
          <w:tcPr>
            <w:tcW w:w="1459"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5,7250</w:t>
            </w:r>
          </w:p>
        </w:tc>
        <w:tc>
          <w:tcPr>
            <w:tcW w:w="1294" w:type="dxa"/>
            <w:tcBorders>
              <w:top w:val="nil"/>
              <w:left w:val="nil"/>
              <w:bottom w:val="nil"/>
              <w:right w:val="nil"/>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0,0000</w:t>
            </w:r>
          </w:p>
        </w:tc>
      </w:tr>
      <w:tr w:rsidR="00C95200" w:rsidRPr="00EA5146" w:rsidTr="00AF77B2">
        <w:trPr>
          <w:trHeight w:val="300"/>
          <w:jc w:val="center"/>
        </w:trPr>
        <w:tc>
          <w:tcPr>
            <w:tcW w:w="1567"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Endividamento</w:t>
            </w:r>
          </w:p>
        </w:tc>
        <w:tc>
          <w:tcPr>
            <w:tcW w:w="1655"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-10,1285</w:t>
            </w:r>
          </w:p>
        </w:tc>
        <w:tc>
          <w:tcPr>
            <w:tcW w:w="1410"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4,6437</w:t>
            </w:r>
          </w:p>
        </w:tc>
        <w:tc>
          <w:tcPr>
            <w:tcW w:w="1459" w:type="dxa"/>
            <w:tcBorders>
              <w:top w:val="nil"/>
              <w:left w:val="nil"/>
              <w:bottom w:val="nil"/>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-2,1810</w:t>
            </w:r>
          </w:p>
        </w:tc>
        <w:tc>
          <w:tcPr>
            <w:tcW w:w="1294" w:type="dxa"/>
            <w:tcBorders>
              <w:top w:val="nil"/>
              <w:left w:val="nil"/>
              <w:bottom w:val="nil"/>
              <w:right w:val="nil"/>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0,0292</w:t>
            </w:r>
          </w:p>
        </w:tc>
      </w:tr>
      <w:tr w:rsidR="00C95200" w:rsidRPr="00EA5146" w:rsidTr="00AF77B2">
        <w:trPr>
          <w:trHeight w:val="300"/>
          <w:jc w:val="center"/>
        </w:trPr>
        <w:tc>
          <w:tcPr>
            <w:tcW w:w="1567" w:type="dxa"/>
            <w:tcBorders>
              <w:top w:val="nil"/>
              <w:left w:val="nil"/>
              <w:bottom w:val="single" w:sz="4" w:space="0" w:color="auto"/>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ROE</w:t>
            </w:r>
          </w:p>
        </w:tc>
        <w:tc>
          <w:tcPr>
            <w:tcW w:w="1655" w:type="dxa"/>
            <w:tcBorders>
              <w:top w:val="nil"/>
              <w:left w:val="nil"/>
              <w:bottom w:val="single" w:sz="4" w:space="0" w:color="auto"/>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-9,1832</w:t>
            </w:r>
          </w:p>
        </w:tc>
        <w:tc>
          <w:tcPr>
            <w:tcW w:w="1410" w:type="dxa"/>
            <w:tcBorders>
              <w:top w:val="nil"/>
              <w:left w:val="nil"/>
              <w:bottom w:val="single" w:sz="4" w:space="0" w:color="auto"/>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4,6762</w:t>
            </w:r>
          </w:p>
        </w:tc>
        <w:tc>
          <w:tcPr>
            <w:tcW w:w="1459" w:type="dxa"/>
            <w:tcBorders>
              <w:top w:val="nil"/>
              <w:left w:val="nil"/>
              <w:bottom w:val="single" w:sz="4" w:space="0" w:color="auto"/>
              <w:right w:val="single" w:sz="4" w:space="0" w:color="auto"/>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-1,9640</w:t>
            </w:r>
          </w:p>
        </w:tc>
        <w:tc>
          <w:tcPr>
            <w:tcW w:w="1294" w:type="dxa"/>
            <w:tcBorders>
              <w:top w:val="nil"/>
              <w:left w:val="nil"/>
              <w:bottom w:val="single" w:sz="4" w:space="0" w:color="auto"/>
              <w:right w:val="nil"/>
            </w:tcBorders>
            <w:shd w:val="clear" w:color="auto" w:fill="auto"/>
            <w:noWrap/>
            <w:vAlign w:val="bottom"/>
            <w:hideMark/>
          </w:tcPr>
          <w:p w:rsidR="00C95200" w:rsidRPr="00EA5146" w:rsidRDefault="00C95200" w:rsidP="00EA5146">
            <w:pPr>
              <w:spacing w:before="60" w:after="60"/>
              <w:jc w:val="center"/>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0,0496</w:t>
            </w:r>
          </w:p>
        </w:tc>
      </w:tr>
    </w:tbl>
    <w:p w:rsidR="00C95200" w:rsidRPr="00EA5146" w:rsidRDefault="00C95200" w:rsidP="00EA5146">
      <w:pPr>
        <w:spacing w:before="60" w:after="60"/>
        <w:ind w:firstLine="851"/>
        <w:rPr>
          <w:rFonts w:ascii="Times New Roman" w:eastAsia="Times New Roman" w:hAnsi="Times New Roman"/>
          <w:bCs/>
          <w:color w:val="000000"/>
          <w:sz w:val="20"/>
          <w:szCs w:val="20"/>
          <w:lang w:eastAsia="pt-BR"/>
        </w:rPr>
      </w:pPr>
      <w:r w:rsidRPr="00EA5146">
        <w:rPr>
          <w:rFonts w:ascii="Times New Roman" w:eastAsia="Times New Roman" w:hAnsi="Times New Roman"/>
          <w:bCs/>
          <w:color w:val="000000"/>
          <w:sz w:val="20"/>
          <w:szCs w:val="20"/>
          <w:lang w:eastAsia="pt-BR"/>
        </w:rPr>
        <w:t>Fonte: Elaborado pelos autores</w:t>
      </w:r>
    </w:p>
    <w:p w:rsidR="00C95200" w:rsidRDefault="00C95200" w:rsidP="00C95200">
      <w:pPr>
        <w:ind w:firstLine="567"/>
        <w:jc w:val="center"/>
        <w:rPr>
          <w:rFonts w:ascii="Times New Roman" w:hAnsi="Times New Roman"/>
          <w:spacing w:val="-8"/>
          <w:sz w:val="20"/>
          <w:szCs w:val="20"/>
        </w:rPr>
      </w:pPr>
    </w:p>
    <w:p w:rsidR="00C95200" w:rsidRPr="00FD6136" w:rsidRDefault="00C95200"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Por meio da análise de regressão logística foi verificado que as variáveis “Ativo Total” (mensurada pelo logaritmo do Ativo Total dos anos de 2010 a 2015), “Grau de Endividamento” e “Retorno sobre o Patrimônio Líquido” são estatisticamente significativas, considerando o nível de significância de 5%, para explicar a escolha do método de avaliação das Propriedades para Investimento. </w:t>
      </w:r>
      <w:r w:rsidR="00F25A3C" w:rsidRPr="00FD6136">
        <w:rPr>
          <w:rFonts w:ascii="Times New Roman" w:hAnsi="Times New Roman"/>
          <w:spacing w:val="-8"/>
          <w:sz w:val="24"/>
          <w:szCs w:val="24"/>
        </w:rPr>
        <w:t xml:space="preserve">Vale destacar que as variáveis tamanho e endividamento também foram significativas no estudo de Pereira (2013), corroborando a ideia da influência de tais variáveis na escolha de política contábil. Já, o ROE não foi significativo no </w:t>
      </w:r>
      <w:r w:rsidR="002D7BBB" w:rsidRPr="00FD6136">
        <w:rPr>
          <w:rFonts w:ascii="Times New Roman" w:hAnsi="Times New Roman"/>
          <w:spacing w:val="-8"/>
          <w:sz w:val="24"/>
          <w:szCs w:val="24"/>
        </w:rPr>
        <w:t>referido estudo (</w:t>
      </w:r>
      <w:r w:rsidR="00F25A3C" w:rsidRPr="00FD6136">
        <w:rPr>
          <w:rFonts w:ascii="Times New Roman" w:hAnsi="Times New Roman"/>
          <w:spacing w:val="-8"/>
          <w:sz w:val="24"/>
          <w:szCs w:val="24"/>
        </w:rPr>
        <w:t>Pereira</w:t>
      </w:r>
      <w:r w:rsidR="002D7BBB" w:rsidRPr="00FD6136">
        <w:rPr>
          <w:rFonts w:ascii="Times New Roman" w:hAnsi="Times New Roman"/>
          <w:spacing w:val="-8"/>
          <w:sz w:val="24"/>
          <w:szCs w:val="24"/>
        </w:rPr>
        <w:t>, 2013)</w:t>
      </w:r>
      <w:r w:rsidR="00F25A3C" w:rsidRPr="00FD6136">
        <w:rPr>
          <w:rFonts w:ascii="Times New Roman" w:hAnsi="Times New Roman"/>
          <w:spacing w:val="-8"/>
          <w:sz w:val="24"/>
          <w:szCs w:val="24"/>
        </w:rPr>
        <w:t xml:space="preserve">, </w:t>
      </w:r>
      <w:r w:rsidR="002D7BBB" w:rsidRPr="00FD6136">
        <w:rPr>
          <w:rFonts w:ascii="Times New Roman" w:hAnsi="Times New Roman"/>
          <w:spacing w:val="-8"/>
          <w:sz w:val="24"/>
          <w:szCs w:val="24"/>
        </w:rPr>
        <w:t>mas</w:t>
      </w:r>
      <w:r w:rsidR="00F25A3C" w:rsidRPr="00FD6136">
        <w:rPr>
          <w:rFonts w:ascii="Times New Roman" w:hAnsi="Times New Roman"/>
          <w:spacing w:val="-8"/>
          <w:sz w:val="24"/>
          <w:szCs w:val="24"/>
        </w:rPr>
        <w:t xml:space="preserve"> se mostrou significativa na amostra analisada no presente </w:t>
      </w:r>
      <w:r w:rsidR="002D7BBB" w:rsidRPr="00FD6136">
        <w:rPr>
          <w:rFonts w:ascii="Times New Roman" w:hAnsi="Times New Roman"/>
          <w:spacing w:val="-8"/>
          <w:sz w:val="24"/>
          <w:szCs w:val="24"/>
        </w:rPr>
        <w:t>trabalho</w:t>
      </w:r>
      <w:r w:rsidR="00F25A3C" w:rsidRPr="00FD6136">
        <w:rPr>
          <w:rFonts w:ascii="Times New Roman" w:hAnsi="Times New Roman"/>
          <w:spacing w:val="-8"/>
          <w:sz w:val="24"/>
          <w:szCs w:val="24"/>
        </w:rPr>
        <w:t>.</w:t>
      </w:r>
    </w:p>
    <w:p w:rsidR="00C95200" w:rsidRPr="00FD6136" w:rsidRDefault="00C95200"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Entretanto, as variáveis “Dividendos” (p-valor de 0,662) e “Lucro Líquido” (p-valor de 0,113) não foram estatisticamente significativas </w:t>
      </w:r>
      <w:r w:rsidR="002D7BBB" w:rsidRPr="00FD6136">
        <w:rPr>
          <w:rFonts w:ascii="Times New Roman" w:hAnsi="Times New Roman"/>
          <w:spacing w:val="-8"/>
          <w:sz w:val="24"/>
          <w:szCs w:val="24"/>
        </w:rPr>
        <w:t xml:space="preserve">ao nível de significância de 5%. Pereira (2013) também verificou a não significância do Lucro Líquido como fator explicativo da escolha de política contábil, o que está em linha com o presente resultado. </w:t>
      </w:r>
      <w:r w:rsidRPr="00FD6136">
        <w:rPr>
          <w:rFonts w:ascii="Times New Roman" w:hAnsi="Times New Roman"/>
          <w:spacing w:val="-8"/>
          <w:sz w:val="24"/>
          <w:szCs w:val="24"/>
        </w:rPr>
        <w:t xml:space="preserve"> Embora as empresas que utilizaram o método do Valor Justo tenham obtido o Lucro Líquido e o pagamento de Dividendos/JCP médios superiores às empresas que me</w:t>
      </w:r>
      <w:r w:rsidR="00F25A3C" w:rsidRPr="00FD6136">
        <w:rPr>
          <w:rFonts w:ascii="Times New Roman" w:hAnsi="Times New Roman"/>
          <w:spacing w:val="-8"/>
          <w:sz w:val="24"/>
          <w:szCs w:val="24"/>
        </w:rPr>
        <w:t>n</w:t>
      </w:r>
      <w:r w:rsidRPr="00FD6136">
        <w:rPr>
          <w:rFonts w:ascii="Times New Roman" w:hAnsi="Times New Roman"/>
          <w:spacing w:val="-8"/>
          <w:sz w:val="24"/>
          <w:szCs w:val="24"/>
        </w:rPr>
        <w:t>suraram as Propriedades para Investimento pelo Custo, as variáveis não foram estatisticamente significativas (ao nível de significância de 5%).</w:t>
      </w:r>
    </w:p>
    <w:p w:rsidR="00C95200" w:rsidRPr="00FD6136" w:rsidRDefault="00C95200"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Portanto, pode-se afirmar que as empresas com menor endividamento e retorno sobre o Patrimônio Líquido e maior Ativo Total, possuem maior probabilidade para escolher o método do Valor Justo para a mensuração das Propriedades para Investimento. </w:t>
      </w:r>
    </w:p>
    <w:p w:rsidR="00C95200" w:rsidRPr="00FD6136" w:rsidRDefault="00C95200"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Em geral, as empresas que adotaram o método do Valor Justo apresentaram um Ativo Total médio de R$ 8,09 bilhões, enquanto as empresas que adotaram o método de custo apresentaram um Ativo Total médio de R$ 2,9 bilhões. </w:t>
      </w:r>
    </w:p>
    <w:p w:rsidR="00C43F1E" w:rsidRPr="00FD6136" w:rsidRDefault="00C43F1E"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A Tabela 5 apresenta os valores médios obtidos dos dividendos e juros sobre capital próprio e lucro com a partir da amostra selecionada.</w:t>
      </w:r>
    </w:p>
    <w:p w:rsidR="00EA5146" w:rsidRDefault="00EA5146" w:rsidP="00C43F1E">
      <w:pPr>
        <w:ind w:left="851" w:hanging="142"/>
        <w:jc w:val="both"/>
        <w:rPr>
          <w:rFonts w:ascii="Times New Roman" w:hAnsi="Times New Roman"/>
          <w:sz w:val="24"/>
          <w:szCs w:val="24"/>
        </w:rPr>
      </w:pPr>
    </w:p>
    <w:p w:rsidR="00737B3C" w:rsidRDefault="00737B3C" w:rsidP="00EB7484">
      <w:pPr>
        <w:ind w:left="284"/>
        <w:jc w:val="center"/>
        <w:rPr>
          <w:rFonts w:ascii="Times New Roman" w:hAnsi="Times New Roman"/>
          <w:b/>
          <w:spacing w:val="-8"/>
          <w:sz w:val="20"/>
          <w:szCs w:val="20"/>
        </w:rPr>
      </w:pPr>
    </w:p>
    <w:p w:rsidR="00EB7484" w:rsidRDefault="00C43F1E" w:rsidP="00EB7484">
      <w:pPr>
        <w:ind w:left="284"/>
        <w:jc w:val="center"/>
        <w:rPr>
          <w:rFonts w:ascii="Times New Roman" w:hAnsi="Times New Roman"/>
          <w:b/>
          <w:spacing w:val="-8"/>
          <w:sz w:val="20"/>
          <w:szCs w:val="20"/>
        </w:rPr>
      </w:pPr>
      <w:r w:rsidRPr="00C91A25">
        <w:rPr>
          <w:rFonts w:ascii="Times New Roman" w:hAnsi="Times New Roman"/>
          <w:b/>
          <w:spacing w:val="-8"/>
          <w:sz w:val="20"/>
          <w:szCs w:val="20"/>
        </w:rPr>
        <w:lastRenderedPageBreak/>
        <w:t>Tabela 5</w:t>
      </w:r>
    </w:p>
    <w:p w:rsidR="00C43F1E" w:rsidRPr="00EB7484" w:rsidRDefault="00C43F1E" w:rsidP="00EB7484">
      <w:pPr>
        <w:ind w:left="284"/>
        <w:jc w:val="center"/>
        <w:rPr>
          <w:rFonts w:ascii="Times New Roman" w:hAnsi="Times New Roman"/>
          <w:spacing w:val="-8"/>
          <w:sz w:val="20"/>
          <w:szCs w:val="20"/>
        </w:rPr>
      </w:pPr>
      <w:r w:rsidRPr="00EB7484">
        <w:rPr>
          <w:rFonts w:ascii="Times New Roman" w:hAnsi="Times New Roman"/>
          <w:spacing w:val="-8"/>
          <w:sz w:val="20"/>
          <w:szCs w:val="20"/>
        </w:rPr>
        <w:t>Estatística Descritiva</w:t>
      </w:r>
    </w:p>
    <w:tbl>
      <w:tblPr>
        <w:tblW w:w="8476" w:type="dxa"/>
        <w:jc w:val="center"/>
        <w:tblCellMar>
          <w:left w:w="70" w:type="dxa"/>
          <w:right w:w="70" w:type="dxa"/>
        </w:tblCellMar>
        <w:tblLook w:val="04A0" w:firstRow="1" w:lastRow="0" w:firstColumn="1" w:lastColumn="0" w:noHBand="0" w:noVBand="1"/>
      </w:tblPr>
      <w:tblGrid>
        <w:gridCol w:w="1900"/>
        <w:gridCol w:w="2560"/>
        <w:gridCol w:w="1685"/>
        <w:gridCol w:w="2331"/>
      </w:tblGrid>
      <w:tr w:rsidR="00C43F1E" w:rsidRPr="00C91A25" w:rsidTr="00244106">
        <w:trPr>
          <w:trHeight w:val="300"/>
          <w:jc w:val="center"/>
        </w:trPr>
        <w:tc>
          <w:tcPr>
            <w:tcW w:w="1900" w:type="dxa"/>
            <w:tcBorders>
              <w:top w:val="single" w:sz="4" w:space="0" w:color="auto"/>
              <w:bottom w:val="single" w:sz="4" w:space="0" w:color="auto"/>
            </w:tcBorders>
            <w:shd w:val="clear" w:color="auto" w:fill="auto"/>
            <w:noWrap/>
            <w:vAlign w:val="bottom"/>
            <w:hideMark/>
          </w:tcPr>
          <w:p w:rsidR="00C43F1E" w:rsidRPr="00C91A25" w:rsidRDefault="00C43F1E" w:rsidP="00EA5146">
            <w:pPr>
              <w:spacing w:before="60" w:after="60"/>
              <w:jc w:val="center"/>
              <w:rPr>
                <w:rFonts w:ascii="Times New Roman" w:eastAsia="Times New Roman" w:hAnsi="Times New Roman"/>
                <w:b/>
                <w:bCs/>
                <w:color w:val="000000"/>
                <w:sz w:val="20"/>
                <w:szCs w:val="20"/>
                <w:lang w:eastAsia="pt-BR"/>
              </w:rPr>
            </w:pPr>
            <w:r w:rsidRPr="00C91A25">
              <w:rPr>
                <w:rFonts w:ascii="Times New Roman" w:eastAsia="Times New Roman" w:hAnsi="Times New Roman"/>
                <w:b/>
                <w:bCs/>
                <w:color w:val="000000"/>
                <w:sz w:val="20"/>
                <w:szCs w:val="20"/>
                <w:lang w:eastAsia="pt-BR"/>
              </w:rPr>
              <w:t>Método de Avaliação</w:t>
            </w:r>
          </w:p>
        </w:tc>
        <w:tc>
          <w:tcPr>
            <w:tcW w:w="2560" w:type="dxa"/>
            <w:tcBorders>
              <w:top w:val="single" w:sz="4" w:space="0" w:color="auto"/>
              <w:bottom w:val="single" w:sz="4" w:space="0" w:color="auto"/>
            </w:tcBorders>
            <w:shd w:val="clear" w:color="auto" w:fill="auto"/>
            <w:noWrap/>
            <w:vAlign w:val="bottom"/>
            <w:hideMark/>
          </w:tcPr>
          <w:p w:rsidR="00C43F1E" w:rsidRPr="00C91A25" w:rsidRDefault="00C43F1E" w:rsidP="00EA5146">
            <w:pPr>
              <w:spacing w:before="60" w:after="60"/>
              <w:jc w:val="center"/>
              <w:rPr>
                <w:rFonts w:ascii="Times New Roman" w:eastAsia="Times New Roman" w:hAnsi="Times New Roman"/>
                <w:b/>
                <w:bCs/>
                <w:color w:val="000000"/>
                <w:sz w:val="20"/>
                <w:szCs w:val="20"/>
                <w:lang w:eastAsia="pt-BR"/>
              </w:rPr>
            </w:pPr>
            <w:r w:rsidRPr="00C91A25">
              <w:rPr>
                <w:rFonts w:ascii="Times New Roman" w:eastAsia="Times New Roman" w:hAnsi="Times New Roman"/>
                <w:b/>
                <w:bCs/>
                <w:color w:val="000000"/>
                <w:sz w:val="20"/>
                <w:szCs w:val="20"/>
                <w:lang w:eastAsia="pt-BR"/>
              </w:rPr>
              <w:t>Percentual Médio de Distribuição de Dividendos/JCP</w:t>
            </w:r>
          </w:p>
        </w:tc>
        <w:tc>
          <w:tcPr>
            <w:tcW w:w="1685" w:type="dxa"/>
            <w:tcBorders>
              <w:top w:val="single" w:sz="4" w:space="0" w:color="auto"/>
              <w:bottom w:val="single" w:sz="4" w:space="0" w:color="auto"/>
            </w:tcBorders>
            <w:shd w:val="clear" w:color="auto" w:fill="auto"/>
            <w:noWrap/>
            <w:vAlign w:val="bottom"/>
            <w:hideMark/>
          </w:tcPr>
          <w:p w:rsidR="00C43F1E" w:rsidRPr="00C91A25" w:rsidRDefault="00C43F1E" w:rsidP="00EA5146">
            <w:pPr>
              <w:spacing w:before="60" w:after="60"/>
              <w:jc w:val="center"/>
              <w:rPr>
                <w:rFonts w:ascii="Times New Roman" w:eastAsia="Times New Roman" w:hAnsi="Times New Roman"/>
                <w:b/>
                <w:bCs/>
                <w:color w:val="000000"/>
                <w:sz w:val="20"/>
                <w:szCs w:val="20"/>
                <w:lang w:eastAsia="pt-BR"/>
              </w:rPr>
            </w:pPr>
            <w:r w:rsidRPr="00C91A25">
              <w:rPr>
                <w:rFonts w:ascii="Times New Roman" w:eastAsia="Times New Roman" w:hAnsi="Times New Roman"/>
                <w:b/>
                <w:bCs/>
                <w:color w:val="000000"/>
                <w:sz w:val="20"/>
                <w:szCs w:val="20"/>
                <w:lang w:eastAsia="pt-BR"/>
              </w:rPr>
              <w:t>Lucro Líquido Médio (R$ mil)</w:t>
            </w:r>
          </w:p>
        </w:tc>
        <w:tc>
          <w:tcPr>
            <w:tcW w:w="2331" w:type="dxa"/>
            <w:tcBorders>
              <w:top w:val="single" w:sz="4" w:space="0" w:color="auto"/>
              <w:bottom w:val="single" w:sz="4" w:space="0" w:color="auto"/>
            </w:tcBorders>
            <w:shd w:val="clear" w:color="auto" w:fill="auto"/>
            <w:noWrap/>
            <w:vAlign w:val="bottom"/>
            <w:hideMark/>
          </w:tcPr>
          <w:p w:rsidR="00C43F1E" w:rsidRPr="00C91A25" w:rsidRDefault="00C43F1E" w:rsidP="00EA5146">
            <w:pPr>
              <w:spacing w:before="60" w:after="60"/>
              <w:jc w:val="center"/>
              <w:rPr>
                <w:rFonts w:ascii="Times New Roman" w:eastAsia="Times New Roman" w:hAnsi="Times New Roman"/>
                <w:b/>
                <w:bCs/>
                <w:color w:val="000000"/>
                <w:sz w:val="20"/>
                <w:szCs w:val="20"/>
                <w:lang w:eastAsia="pt-BR"/>
              </w:rPr>
            </w:pPr>
            <w:r w:rsidRPr="00C91A25">
              <w:rPr>
                <w:rFonts w:ascii="Times New Roman" w:eastAsia="Times New Roman" w:hAnsi="Times New Roman"/>
                <w:b/>
                <w:bCs/>
                <w:color w:val="000000"/>
                <w:sz w:val="20"/>
                <w:szCs w:val="20"/>
                <w:lang w:eastAsia="pt-BR"/>
              </w:rPr>
              <w:t>Dividendos e Juros sobre Capital Próprio (R$ mil)</w:t>
            </w:r>
          </w:p>
        </w:tc>
      </w:tr>
      <w:tr w:rsidR="00C43F1E" w:rsidRPr="00C91A25" w:rsidTr="00244106">
        <w:trPr>
          <w:trHeight w:val="300"/>
          <w:jc w:val="center"/>
        </w:trPr>
        <w:tc>
          <w:tcPr>
            <w:tcW w:w="1900" w:type="dxa"/>
            <w:tcBorders>
              <w:top w:val="single" w:sz="4" w:space="0" w:color="auto"/>
              <w:bottom w:val="single" w:sz="4" w:space="0" w:color="auto"/>
            </w:tcBorders>
            <w:shd w:val="clear" w:color="auto" w:fill="auto"/>
            <w:noWrap/>
            <w:vAlign w:val="bottom"/>
            <w:hideMark/>
          </w:tcPr>
          <w:p w:rsidR="00C43F1E" w:rsidRPr="00EA5146" w:rsidRDefault="00C43F1E"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Custo</w:t>
            </w:r>
          </w:p>
        </w:tc>
        <w:tc>
          <w:tcPr>
            <w:tcW w:w="2560" w:type="dxa"/>
            <w:tcBorders>
              <w:top w:val="single" w:sz="4" w:space="0" w:color="auto"/>
              <w:bottom w:val="single" w:sz="4" w:space="0" w:color="auto"/>
            </w:tcBorders>
            <w:shd w:val="clear" w:color="auto" w:fill="auto"/>
            <w:noWrap/>
            <w:vAlign w:val="bottom"/>
            <w:hideMark/>
          </w:tcPr>
          <w:p w:rsidR="00C43F1E" w:rsidRPr="002D0177" w:rsidRDefault="00C43F1E" w:rsidP="00EA5146">
            <w:pPr>
              <w:spacing w:before="60" w:after="60"/>
              <w:jc w:val="center"/>
              <w:rPr>
                <w:rFonts w:ascii="Times New Roman" w:eastAsia="Times New Roman" w:hAnsi="Times New Roman"/>
                <w:bCs/>
                <w:color w:val="000000"/>
                <w:sz w:val="20"/>
                <w:szCs w:val="20"/>
                <w:lang w:eastAsia="pt-BR"/>
              </w:rPr>
            </w:pPr>
            <w:r w:rsidRPr="002D0177">
              <w:rPr>
                <w:rFonts w:ascii="Times New Roman" w:eastAsia="Times New Roman" w:hAnsi="Times New Roman"/>
                <w:bCs/>
                <w:color w:val="000000"/>
                <w:sz w:val="20"/>
                <w:szCs w:val="20"/>
                <w:lang w:eastAsia="pt-BR"/>
              </w:rPr>
              <w:t>0,28</w:t>
            </w:r>
          </w:p>
        </w:tc>
        <w:tc>
          <w:tcPr>
            <w:tcW w:w="1685" w:type="dxa"/>
            <w:tcBorders>
              <w:top w:val="single" w:sz="4" w:space="0" w:color="auto"/>
              <w:bottom w:val="single" w:sz="4" w:space="0" w:color="auto"/>
            </w:tcBorders>
            <w:shd w:val="clear" w:color="auto" w:fill="auto"/>
            <w:noWrap/>
            <w:vAlign w:val="bottom"/>
            <w:hideMark/>
          </w:tcPr>
          <w:p w:rsidR="00C43F1E" w:rsidRPr="002D0177" w:rsidRDefault="00C43F1E" w:rsidP="00EA5146">
            <w:pPr>
              <w:spacing w:before="60" w:after="60"/>
              <w:jc w:val="center"/>
              <w:rPr>
                <w:rFonts w:ascii="Times New Roman" w:eastAsia="Times New Roman" w:hAnsi="Times New Roman"/>
                <w:bCs/>
                <w:color w:val="000000"/>
                <w:sz w:val="20"/>
                <w:szCs w:val="20"/>
                <w:lang w:eastAsia="pt-BR"/>
              </w:rPr>
            </w:pPr>
            <w:r w:rsidRPr="002D0177">
              <w:rPr>
                <w:rFonts w:ascii="Times New Roman" w:eastAsia="Times New Roman" w:hAnsi="Times New Roman"/>
                <w:bCs/>
                <w:color w:val="000000"/>
                <w:sz w:val="20"/>
                <w:szCs w:val="20"/>
                <w:lang w:eastAsia="pt-BR"/>
              </w:rPr>
              <w:t>136.627,30</w:t>
            </w:r>
          </w:p>
        </w:tc>
        <w:tc>
          <w:tcPr>
            <w:tcW w:w="2331" w:type="dxa"/>
            <w:tcBorders>
              <w:top w:val="single" w:sz="4" w:space="0" w:color="auto"/>
              <w:bottom w:val="single" w:sz="4" w:space="0" w:color="auto"/>
            </w:tcBorders>
            <w:shd w:val="clear" w:color="auto" w:fill="auto"/>
            <w:noWrap/>
            <w:vAlign w:val="bottom"/>
            <w:hideMark/>
          </w:tcPr>
          <w:p w:rsidR="00C43F1E" w:rsidRPr="002D0177" w:rsidRDefault="00C43F1E" w:rsidP="00EA5146">
            <w:pPr>
              <w:spacing w:before="60" w:after="60"/>
              <w:jc w:val="center"/>
              <w:rPr>
                <w:rFonts w:ascii="Times New Roman" w:eastAsia="Times New Roman" w:hAnsi="Times New Roman"/>
                <w:bCs/>
                <w:color w:val="000000"/>
                <w:sz w:val="20"/>
                <w:szCs w:val="20"/>
                <w:lang w:eastAsia="pt-BR"/>
              </w:rPr>
            </w:pPr>
            <w:r w:rsidRPr="002D0177">
              <w:rPr>
                <w:rFonts w:ascii="Times New Roman" w:eastAsia="Times New Roman" w:hAnsi="Times New Roman"/>
                <w:bCs/>
                <w:color w:val="000000"/>
                <w:sz w:val="20"/>
                <w:szCs w:val="20"/>
                <w:lang w:eastAsia="pt-BR"/>
              </w:rPr>
              <w:t>54.409,10</w:t>
            </w:r>
          </w:p>
        </w:tc>
      </w:tr>
      <w:tr w:rsidR="00C43F1E" w:rsidRPr="00C91A25" w:rsidTr="00244106">
        <w:trPr>
          <w:trHeight w:val="300"/>
          <w:jc w:val="center"/>
        </w:trPr>
        <w:tc>
          <w:tcPr>
            <w:tcW w:w="1900" w:type="dxa"/>
            <w:tcBorders>
              <w:top w:val="single" w:sz="4" w:space="0" w:color="auto"/>
              <w:bottom w:val="single" w:sz="4" w:space="0" w:color="auto"/>
            </w:tcBorders>
            <w:shd w:val="clear" w:color="auto" w:fill="auto"/>
            <w:noWrap/>
            <w:vAlign w:val="bottom"/>
            <w:hideMark/>
          </w:tcPr>
          <w:p w:rsidR="00C43F1E" w:rsidRPr="00EA5146" w:rsidRDefault="00C43F1E" w:rsidP="00EA5146">
            <w:pPr>
              <w:spacing w:before="60" w:after="60"/>
              <w:jc w:val="center"/>
              <w:rPr>
                <w:rFonts w:ascii="Times New Roman" w:eastAsia="Times New Roman" w:hAnsi="Times New Roman"/>
                <w:b/>
                <w:bCs/>
                <w:color w:val="000000"/>
                <w:sz w:val="20"/>
                <w:szCs w:val="20"/>
                <w:lang w:eastAsia="pt-BR"/>
              </w:rPr>
            </w:pPr>
            <w:r w:rsidRPr="00EA5146">
              <w:rPr>
                <w:rFonts w:ascii="Times New Roman" w:eastAsia="Times New Roman" w:hAnsi="Times New Roman"/>
                <w:b/>
                <w:bCs/>
                <w:color w:val="000000"/>
                <w:sz w:val="20"/>
                <w:szCs w:val="20"/>
                <w:lang w:eastAsia="pt-BR"/>
              </w:rPr>
              <w:t>Valor Justo</w:t>
            </w:r>
          </w:p>
        </w:tc>
        <w:tc>
          <w:tcPr>
            <w:tcW w:w="2560" w:type="dxa"/>
            <w:tcBorders>
              <w:top w:val="single" w:sz="4" w:space="0" w:color="auto"/>
              <w:bottom w:val="single" w:sz="4" w:space="0" w:color="auto"/>
            </w:tcBorders>
            <w:shd w:val="clear" w:color="auto" w:fill="auto"/>
            <w:noWrap/>
            <w:vAlign w:val="bottom"/>
            <w:hideMark/>
          </w:tcPr>
          <w:p w:rsidR="00C43F1E" w:rsidRPr="002D0177" w:rsidRDefault="00C43F1E" w:rsidP="00EA5146">
            <w:pPr>
              <w:spacing w:before="60" w:after="60"/>
              <w:jc w:val="center"/>
              <w:rPr>
                <w:rFonts w:ascii="Times New Roman" w:eastAsia="Times New Roman" w:hAnsi="Times New Roman"/>
                <w:bCs/>
                <w:color w:val="000000"/>
                <w:sz w:val="20"/>
                <w:szCs w:val="20"/>
                <w:lang w:eastAsia="pt-BR"/>
              </w:rPr>
            </w:pPr>
            <w:r w:rsidRPr="002D0177">
              <w:rPr>
                <w:rFonts w:ascii="Times New Roman" w:eastAsia="Times New Roman" w:hAnsi="Times New Roman"/>
                <w:bCs/>
                <w:color w:val="000000"/>
                <w:sz w:val="20"/>
                <w:szCs w:val="20"/>
                <w:lang w:eastAsia="pt-BR"/>
              </w:rPr>
              <w:t>0,65</w:t>
            </w:r>
          </w:p>
        </w:tc>
        <w:tc>
          <w:tcPr>
            <w:tcW w:w="1685" w:type="dxa"/>
            <w:tcBorders>
              <w:top w:val="single" w:sz="4" w:space="0" w:color="auto"/>
              <w:bottom w:val="single" w:sz="4" w:space="0" w:color="auto"/>
            </w:tcBorders>
            <w:shd w:val="clear" w:color="auto" w:fill="auto"/>
            <w:noWrap/>
            <w:vAlign w:val="bottom"/>
            <w:hideMark/>
          </w:tcPr>
          <w:p w:rsidR="00C43F1E" w:rsidRPr="002D0177" w:rsidRDefault="00C43F1E" w:rsidP="00EA5146">
            <w:pPr>
              <w:spacing w:before="60" w:after="60"/>
              <w:jc w:val="center"/>
              <w:rPr>
                <w:rFonts w:ascii="Times New Roman" w:eastAsia="Times New Roman" w:hAnsi="Times New Roman"/>
                <w:bCs/>
                <w:color w:val="000000"/>
                <w:sz w:val="20"/>
                <w:szCs w:val="20"/>
                <w:lang w:eastAsia="pt-BR"/>
              </w:rPr>
            </w:pPr>
            <w:r w:rsidRPr="002D0177">
              <w:rPr>
                <w:rFonts w:ascii="Times New Roman" w:eastAsia="Times New Roman" w:hAnsi="Times New Roman"/>
                <w:bCs/>
                <w:color w:val="000000"/>
                <w:sz w:val="20"/>
                <w:szCs w:val="20"/>
                <w:lang w:eastAsia="pt-BR"/>
              </w:rPr>
              <w:t>382.476,20</w:t>
            </w:r>
          </w:p>
        </w:tc>
        <w:tc>
          <w:tcPr>
            <w:tcW w:w="2331" w:type="dxa"/>
            <w:tcBorders>
              <w:top w:val="single" w:sz="4" w:space="0" w:color="auto"/>
              <w:bottom w:val="single" w:sz="4" w:space="0" w:color="auto"/>
            </w:tcBorders>
            <w:shd w:val="clear" w:color="auto" w:fill="auto"/>
            <w:noWrap/>
            <w:vAlign w:val="bottom"/>
            <w:hideMark/>
          </w:tcPr>
          <w:p w:rsidR="00C43F1E" w:rsidRPr="002D0177" w:rsidRDefault="00C43F1E" w:rsidP="00EA5146">
            <w:pPr>
              <w:spacing w:before="60" w:after="60"/>
              <w:jc w:val="center"/>
              <w:rPr>
                <w:rFonts w:ascii="Times New Roman" w:eastAsia="Times New Roman" w:hAnsi="Times New Roman"/>
                <w:bCs/>
                <w:color w:val="000000"/>
                <w:sz w:val="20"/>
                <w:szCs w:val="20"/>
                <w:lang w:eastAsia="pt-BR"/>
              </w:rPr>
            </w:pPr>
            <w:r w:rsidRPr="002D0177">
              <w:rPr>
                <w:rFonts w:ascii="Times New Roman" w:eastAsia="Times New Roman" w:hAnsi="Times New Roman"/>
                <w:bCs/>
                <w:color w:val="000000"/>
                <w:sz w:val="20"/>
                <w:szCs w:val="20"/>
                <w:lang w:eastAsia="pt-BR"/>
              </w:rPr>
              <w:t>195.401,84</w:t>
            </w:r>
          </w:p>
        </w:tc>
      </w:tr>
      <w:tr w:rsidR="00C43F1E" w:rsidRPr="00C91A25" w:rsidTr="00244106">
        <w:trPr>
          <w:trHeight w:val="45"/>
          <w:jc w:val="center"/>
        </w:trPr>
        <w:tc>
          <w:tcPr>
            <w:tcW w:w="1900" w:type="dxa"/>
            <w:tcBorders>
              <w:top w:val="single" w:sz="4" w:space="0" w:color="auto"/>
              <w:bottom w:val="single" w:sz="4" w:space="0" w:color="auto"/>
            </w:tcBorders>
            <w:shd w:val="clear" w:color="auto" w:fill="auto"/>
            <w:noWrap/>
            <w:vAlign w:val="bottom"/>
            <w:hideMark/>
          </w:tcPr>
          <w:p w:rsidR="00C43F1E" w:rsidRPr="00C91A25" w:rsidRDefault="00C43F1E" w:rsidP="00EA5146">
            <w:pPr>
              <w:spacing w:before="60" w:after="60"/>
              <w:jc w:val="center"/>
              <w:rPr>
                <w:rFonts w:ascii="Times New Roman" w:eastAsia="Times New Roman" w:hAnsi="Times New Roman"/>
                <w:b/>
                <w:bCs/>
                <w:color w:val="000000"/>
                <w:sz w:val="20"/>
                <w:szCs w:val="20"/>
                <w:lang w:eastAsia="pt-BR"/>
              </w:rPr>
            </w:pPr>
            <w:r w:rsidRPr="00C91A25">
              <w:rPr>
                <w:rFonts w:ascii="Times New Roman" w:eastAsia="Times New Roman" w:hAnsi="Times New Roman"/>
                <w:b/>
                <w:bCs/>
                <w:color w:val="000000"/>
                <w:sz w:val="20"/>
                <w:szCs w:val="20"/>
                <w:lang w:eastAsia="pt-BR"/>
              </w:rPr>
              <w:t>Total Geral</w:t>
            </w:r>
          </w:p>
        </w:tc>
        <w:tc>
          <w:tcPr>
            <w:tcW w:w="2560" w:type="dxa"/>
            <w:tcBorders>
              <w:top w:val="single" w:sz="4" w:space="0" w:color="auto"/>
              <w:bottom w:val="single" w:sz="4" w:space="0" w:color="auto"/>
            </w:tcBorders>
            <w:shd w:val="clear" w:color="auto" w:fill="auto"/>
            <w:noWrap/>
            <w:vAlign w:val="bottom"/>
            <w:hideMark/>
          </w:tcPr>
          <w:p w:rsidR="00C43F1E" w:rsidRPr="002D0177" w:rsidRDefault="00C43F1E" w:rsidP="00EA5146">
            <w:pPr>
              <w:spacing w:before="60" w:after="60"/>
              <w:jc w:val="center"/>
              <w:rPr>
                <w:rFonts w:ascii="Times New Roman" w:eastAsia="Times New Roman" w:hAnsi="Times New Roman"/>
                <w:bCs/>
                <w:color w:val="000000"/>
                <w:sz w:val="20"/>
                <w:szCs w:val="20"/>
                <w:lang w:eastAsia="pt-BR"/>
              </w:rPr>
            </w:pPr>
            <w:r w:rsidRPr="002D0177">
              <w:rPr>
                <w:rFonts w:ascii="Times New Roman" w:eastAsia="Times New Roman" w:hAnsi="Times New Roman"/>
                <w:bCs/>
                <w:color w:val="000000"/>
                <w:sz w:val="20"/>
                <w:szCs w:val="20"/>
                <w:lang w:eastAsia="pt-BR"/>
              </w:rPr>
              <w:t>0,40</w:t>
            </w:r>
          </w:p>
        </w:tc>
        <w:tc>
          <w:tcPr>
            <w:tcW w:w="1685" w:type="dxa"/>
            <w:tcBorders>
              <w:top w:val="single" w:sz="4" w:space="0" w:color="auto"/>
              <w:bottom w:val="single" w:sz="4" w:space="0" w:color="auto"/>
            </w:tcBorders>
            <w:shd w:val="clear" w:color="auto" w:fill="auto"/>
            <w:noWrap/>
            <w:vAlign w:val="bottom"/>
            <w:hideMark/>
          </w:tcPr>
          <w:p w:rsidR="00C43F1E" w:rsidRPr="002D0177" w:rsidRDefault="00C43F1E" w:rsidP="00EA5146">
            <w:pPr>
              <w:spacing w:before="60" w:after="60"/>
              <w:jc w:val="center"/>
              <w:rPr>
                <w:rFonts w:ascii="Times New Roman" w:eastAsia="Times New Roman" w:hAnsi="Times New Roman"/>
                <w:bCs/>
                <w:color w:val="000000"/>
                <w:sz w:val="20"/>
                <w:szCs w:val="20"/>
                <w:lang w:eastAsia="pt-BR"/>
              </w:rPr>
            </w:pPr>
            <w:r w:rsidRPr="002D0177">
              <w:rPr>
                <w:rFonts w:ascii="Times New Roman" w:eastAsia="Times New Roman" w:hAnsi="Times New Roman"/>
                <w:bCs/>
                <w:color w:val="000000"/>
                <w:sz w:val="20"/>
                <w:szCs w:val="20"/>
                <w:lang w:eastAsia="pt-BR"/>
              </w:rPr>
              <w:t>218.576,93</w:t>
            </w:r>
          </w:p>
        </w:tc>
        <w:tc>
          <w:tcPr>
            <w:tcW w:w="2331" w:type="dxa"/>
            <w:tcBorders>
              <w:top w:val="single" w:sz="4" w:space="0" w:color="auto"/>
              <w:bottom w:val="single" w:sz="4" w:space="0" w:color="auto"/>
            </w:tcBorders>
            <w:shd w:val="clear" w:color="auto" w:fill="auto"/>
            <w:noWrap/>
            <w:vAlign w:val="bottom"/>
            <w:hideMark/>
          </w:tcPr>
          <w:p w:rsidR="00C43F1E" w:rsidRPr="002D0177" w:rsidRDefault="00C43F1E" w:rsidP="00EA5146">
            <w:pPr>
              <w:spacing w:before="60" w:after="60"/>
              <w:jc w:val="center"/>
              <w:rPr>
                <w:rFonts w:ascii="Times New Roman" w:eastAsia="Times New Roman" w:hAnsi="Times New Roman"/>
                <w:bCs/>
                <w:color w:val="000000"/>
                <w:sz w:val="20"/>
                <w:szCs w:val="20"/>
                <w:lang w:eastAsia="pt-BR"/>
              </w:rPr>
            </w:pPr>
            <w:r w:rsidRPr="002D0177">
              <w:rPr>
                <w:rFonts w:ascii="Times New Roman" w:eastAsia="Times New Roman" w:hAnsi="Times New Roman"/>
                <w:bCs/>
                <w:color w:val="000000"/>
                <w:sz w:val="20"/>
                <w:szCs w:val="20"/>
                <w:lang w:eastAsia="pt-BR"/>
              </w:rPr>
              <w:t>101.406,68</w:t>
            </w:r>
          </w:p>
        </w:tc>
      </w:tr>
    </w:tbl>
    <w:p w:rsidR="00C43F1E" w:rsidRPr="00343BAE" w:rsidRDefault="00C43F1E" w:rsidP="00C43F1E">
      <w:pPr>
        <w:pStyle w:val="PargrafodaLista"/>
        <w:tabs>
          <w:tab w:val="left" w:pos="284"/>
        </w:tabs>
        <w:ind w:left="0" w:firstLine="284"/>
        <w:rPr>
          <w:rFonts w:ascii="Times New Roman" w:hAnsi="Times New Roman"/>
          <w:spacing w:val="-8"/>
          <w:sz w:val="20"/>
          <w:szCs w:val="20"/>
        </w:rPr>
      </w:pPr>
      <w:r w:rsidRPr="00275F5B">
        <w:rPr>
          <w:rFonts w:ascii="Times New Roman" w:hAnsi="Times New Roman"/>
          <w:spacing w:val="-8"/>
          <w:sz w:val="20"/>
          <w:szCs w:val="20"/>
        </w:rPr>
        <w:t>Fonte: Elaborado pelos autores</w:t>
      </w:r>
    </w:p>
    <w:p w:rsidR="00E41ABC" w:rsidRPr="002D0177" w:rsidRDefault="00E41ABC" w:rsidP="00C43F1E">
      <w:pPr>
        <w:pStyle w:val="PargrafodaLista"/>
        <w:tabs>
          <w:tab w:val="left" w:pos="284"/>
        </w:tabs>
        <w:jc w:val="both"/>
        <w:rPr>
          <w:rFonts w:ascii="Times New Roman" w:hAnsi="Times New Roman"/>
          <w:spacing w:val="-8"/>
          <w:sz w:val="24"/>
          <w:szCs w:val="24"/>
        </w:rPr>
      </w:pPr>
    </w:p>
    <w:p w:rsidR="00C43F1E" w:rsidRPr="00FD6136" w:rsidRDefault="00C43F1E"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Considerando os dados de distribuição de dividendos e juros sobre capital próprio (em percentual do lucro líquido) o teste de Mann-Whitney mostra que as empresas que adotam a mensuração ao valor justo distribuíram percentual médio maior que as empresas que adotaram o método de custo, considerando um nível de significância de 5%, calculado por meio do software livre SOFA. Portanto, há evidências que levam a rejeição da hipótese nula do teste (p-value = 0,02). </w:t>
      </w:r>
    </w:p>
    <w:p w:rsidR="00C43F1E" w:rsidRPr="00FD6136" w:rsidRDefault="00C43F1E"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Assim, não podemos afirmar a existência de conflitos de agência (objetivo secundário), uma vez que as empresas que optaram pelo método do Valor Justo, em média, tiveram maior volume de distribuição de Dividendos/JCP, muito embora tenham obtido maiores Lucro, o que pode ter sido incentivo aos Administradores para o recebimento de bônus. </w:t>
      </w:r>
    </w:p>
    <w:p w:rsidR="00C43F1E" w:rsidRDefault="00C43F1E" w:rsidP="00C95200">
      <w:pPr>
        <w:ind w:firstLine="567"/>
        <w:rPr>
          <w:rFonts w:ascii="Times New Roman" w:hAnsi="Times New Roman"/>
          <w:sz w:val="24"/>
          <w:szCs w:val="24"/>
        </w:rPr>
      </w:pPr>
    </w:p>
    <w:p w:rsidR="00EB7484" w:rsidRDefault="00EB7484" w:rsidP="00C95200">
      <w:pPr>
        <w:ind w:firstLine="567"/>
        <w:rPr>
          <w:rFonts w:ascii="Times New Roman" w:hAnsi="Times New Roman"/>
          <w:sz w:val="24"/>
          <w:szCs w:val="24"/>
        </w:rPr>
      </w:pPr>
    </w:p>
    <w:p w:rsidR="00C95200" w:rsidRPr="00FC066A" w:rsidRDefault="00D31D56" w:rsidP="00D31D56">
      <w:pPr>
        <w:numPr>
          <w:ilvl w:val="0"/>
          <w:numId w:val="3"/>
        </w:numPr>
        <w:ind w:left="284" w:hanging="284"/>
        <w:rPr>
          <w:rFonts w:ascii="Times New Roman" w:hAnsi="Times New Roman"/>
          <w:b/>
          <w:caps/>
          <w:spacing w:val="-8"/>
          <w:sz w:val="24"/>
          <w:szCs w:val="24"/>
        </w:rPr>
      </w:pPr>
      <w:r w:rsidRPr="00FC066A">
        <w:rPr>
          <w:rFonts w:ascii="Times New Roman" w:hAnsi="Times New Roman"/>
          <w:b/>
          <w:caps/>
          <w:spacing w:val="-8"/>
          <w:sz w:val="24"/>
          <w:szCs w:val="24"/>
        </w:rPr>
        <w:t>Conclusão</w:t>
      </w:r>
    </w:p>
    <w:p w:rsidR="00DB1BEF" w:rsidRPr="00DC0672" w:rsidRDefault="00DB1BEF" w:rsidP="00C91A25">
      <w:pPr>
        <w:pStyle w:val="PargrafodaLista"/>
        <w:tabs>
          <w:tab w:val="left" w:pos="284"/>
        </w:tabs>
        <w:spacing w:after="0" w:line="240" w:lineRule="auto"/>
        <w:jc w:val="both"/>
        <w:rPr>
          <w:rFonts w:ascii="Times New Roman" w:hAnsi="Times New Roman"/>
          <w:b/>
          <w:sz w:val="24"/>
          <w:szCs w:val="24"/>
        </w:rPr>
      </w:pPr>
    </w:p>
    <w:p w:rsidR="00DA2205" w:rsidRPr="00FD6136" w:rsidRDefault="00A07662"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O objetivo principal deste artigo foi </w:t>
      </w:r>
      <w:r w:rsidR="00BF0571" w:rsidRPr="00FD6136">
        <w:rPr>
          <w:rFonts w:ascii="Times New Roman" w:hAnsi="Times New Roman"/>
          <w:spacing w:val="-8"/>
          <w:sz w:val="24"/>
          <w:szCs w:val="24"/>
        </w:rPr>
        <w:t>identificar os fatores determinantes para adoção da Política Contábil do Valor Justo para a mensuração das Propriedades para Investimento pelas Empresas do Segmento de Exploração de Imóveis listadas na BM&amp;</w:t>
      </w:r>
      <w:r w:rsidR="00F85A8F" w:rsidRPr="00FD6136">
        <w:rPr>
          <w:rFonts w:ascii="Times New Roman" w:hAnsi="Times New Roman"/>
          <w:spacing w:val="-8"/>
          <w:sz w:val="24"/>
          <w:szCs w:val="24"/>
        </w:rPr>
        <w:t>FBOVESPA</w:t>
      </w:r>
      <w:r w:rsidRPr="00FD6136">
        <w:rPr>
          <w:rFonts w:ascii="Times New Roman" w:hAnsi="Times New Roman"/>
          <w:spacing w:val="-8"/>
          <w:sz w:val="24"/>
          <w:szCs w:val="24"/>
        </w:rPr>
        <w:t xml:space="preserve">. </w:t>
      </w:r>
      <w:r w:rsidR="00DA2205" w:rsidRPr="00FD6136">
        <w:rPr>
          <w:rFonts w:ascii="Times New Roman" w:hAnsi="Times New Roman"/>
          <w:spacing w:val="-8"/>
          <w:sz w:val="24"/>
          <w:szCs w:val="24"/>
        </w:rPr>
        <w:t xml:space="preserve">Além disso, o objetivo secundário </w:t>
      </w:r>
      <w:r w:rsidR="00C43F1E" w:rsidRPr="00FD6136">
        <w:rPr>
          <w:rFonts w:ascii="Times New Roman" w:hAnsi="Times New Roman"/>
          <w:spacing w:val="-8"/>
          <w:sz w:val="24"/>
          <w:szCs w:val="24"/>
        </w:rPr>
        <w:t xml:space="preserve">de buscar-se </w:t>
      </w:r>
      <w:r w:rsidR="00897E40" w:rsidRPr="00FD6136">
        <w:rPr>
          <w:rFonts w:ascii="Times New Roman" w:hAnsi="Times New Roman"/>
          <w:spacing w:val="-8"/>
          <w:sz w:val="24"/>
          <w:szCs w:val="24"/>
        </w:rPr>
        <w:t>evidências da aplicação da Teoria da Agência quanto a decisão da Administração pela adoção da Política Contábil de mensuração das Propriedades para Investimento pelo Método do Valor Justo.</w:t>
      </w:r>
      <w:r w:rsidR="00897E40" w:rsidRPr="00FD6136" w:rsidDel="00897E40">
        <w:rPr>
          <w:rFonts w:ascii="Times New Roman" w:hAnsi="Times New Roman"/>
          <w:spacing w:val="-8"/>
          <w:sz w:val="24"/>
          <w:szCs w:val="24"/>
        </w:rPr>
        <w:t xml:space="preserve"> </w:t>
      </w:r>
      <w:r w:rsidR="00DA2205" w:rsidRPr="00FD6136">
        <w:rPr>
          <w:rFonts w:ascii="Times New Roman" w:hAnsi="Times New Roman"/>
          <w:spacing w:val="-8"/>
          <w:sz w:val="24"/>
          <w:szCs w:val="24"/>
        </w:rPr>
        <w:t>No desenvolvimento do presente estudo foram analisadas as demonstrações contábeis, e respectivas notas explicativas, das empresas do Segmento de Exploração de Imóveis listadas na BM&amp;FBOVESPA do Período de 2010 a 2015. A análise dos dados compreendeu a aplicação de testes estatísticos multivariados para a análise quantitativa dos dados, bem como, para a análise qualitativa das informações divulgadas.</w:t>
      </w:r>
    </w:p>
    <w:p w:rsidR="00C95200" w:rsidRPr="00FD6136" w:rsidRDefault="00C95200"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Na análise dos fatores determinantes para adoção do método contábil de mensuração das Propriedades para Investimento, o teste multivariado (regressão logística) demonstrou que as variáveis “Ativo Total” (mensurada pelo logaritmo do Ativo Total dos anos de 2010 a 2015), “Grau de Endividamento” e “Retorno sobre o Patrimônio Líquido” são estatisticamente significativas (considerando o nível de significância de 5%) para explicar a esco</w:t>
      </w:r>
      <w:r w:rsidR="00836C53" w:rsidRPr="00FD6136">
        <w:rPr>
          <w:rFonts w:ascii="Times New Roman" w:hAnsi="Times New Roman"/>
          <w:spacing w:val="-8"/>
          <w:sz w:val="24"/>
          <w:szCs w:val="24"/>
        </w:rPr>
        <w:t>lha do método de avaliação das Propriedades para I</w:t>
      </w:r>
      <w:r w:rsidRPr="00FD6136">
        <w:rPr>
          <w:rFonts w:ascii="Times New Roman" w:hAnsi="Times New Roman"/>
          <w:spacing w:val="-8"/>
          <w:sz w:val="24"/>
          <w:szCs w:val="24"/>
        </w:rPr>
        <w:t xml:space="preserve">nvestimento. </w:t>
      </w:r>
    </w:p>
    <w:p w:rsidR="00C95200" w:rsidRPr="00FD6136" w:rsidRDefault="00C95200"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Assim, pode-se afirmar que as empresas com menor endividamento e retorno sobre o Patrimônio Líquido e maior Ativo Total possuem maior probabilidade para escolher o método do Valor Justo para a mensuração das Propriedades para Investimento. </w:t>
      </w:r>
      <w:r w:rsidR="00C149F4">
        <w:rPr>
          <w:rFonts w:ascii="Times New Roman" w:hAnsi="Times New Roman"/>
          <w:spacing w:val="-8"/>
          <w:sz w:val="24"/>
          <w:szCs w:val="24"/>
        </w:rPr>
        <w:t>Porém o achado relacionada a variável endividamento foi contr</w:t>
      </w:r>
      <w:r w:rsidR="00E66963">
        <w:rPr>
          <w:rFonts w:ascii="Times New Roman" w:hAnsi="Times New Roman"/>
          <w:spacing w:val="-8"/>
          <w:sz w:val="24"/>
          <w:szCs w:val="24"/>
        </w:rPr>
        <w:t>ário</w:t>
      </w:r>
      <w:r w:rsidR="00C149F4">
        <w:rPr>
          <w:rFonts w:ascii="Times New Roman" w:hAnsi="Times New Roman"/>
          <w:spacing w:val="-8"/>
          <w:sz w:val="24"/>
          <w:szCs w:val="24"/>
        </w:rPr>
        <w:t xml:space="preserve"> ao estudo de Pereira (2013), </w:t>
      </w:r>
      <w:r w:rsidR="00E66963">
        <w:rPr>
          <w:rFonts w:ascii="Times New Roman" w:hAnsi="Times New Roman"/>
          <w:spacing w:val="-8"/>
          <w:sz w:val="24"/>
          <w:szCs w:val="24"/>
        </w:rPr>
        <w:t xml:space="preserve">cuja </w:t>
      </w:r>
      <w:r w:rsidR="00C149F4">
        <w:rPr>
          <w:rFonts w:ascii="Times New Roman" w:hAnsi="Times New Roman"/>
          <w:spacing w:val="-8"/>
          <w:sz w:val="24"/>
          <w:szCs w:val="24"/>
        </w:rPr>
        <w:t>hipótese de quanto maior o endividamento maior a probabilidade de adoção do valor justo não foi rejeitada.</w:t>
      </w:r>
      <w:r w:rsidR="00E66963">
        <w:rPr>
          <w:rFonts w:ascii="Times New Roman" w:hAnsi="Times New Roman"/>
          <w:spacing w:val="-8"/>
          <w:sz w:val="24"/>
          <w:szCs w:val="24"/>
        </w:rPr>
        <w:t xml:space="preserve"> Já a pesquisa de Costa et al (2013) encontrou uma relação inversa do tamanho da empresa, medido pelo valor da receita, e a adoção do método do valor justo.</w:t>
      </w:r>
    </w:p>
    <w:p w:rsidR="00C95200" w:rsidRDefault="00C95200"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Os dados analisados também demonstram que as empresas que optaram pelo método do Valor Justo apresentam, em média, menor grau de endividamento e rentabilidade sobre o Patrimônio Líquido. Embora as empresas que utilizaram o método do Valor Justo tenham obtido o Lucro Líquido e o </w:t>
      </w:r>
      <w:r w:rsidRPr="00FD6136">
        <w:rPr>
          <w:rFonts w:ascii="Times New Roman" w:hAnsi="Times New Roman"/>
          <w:spacing w:val="-8"/>
          <w:sz w:val="24"/>
          <w:szCs w:val="24"/>
        </w:rPr>
        <w:lastRenderedPageBreak/>
        <w:t>pagamento de Dividendos/JCP médios superiores às empresas que mesuraram as Propriedades para Investimento pelo Custo, as variáveis não foram estatisticamente significativas (ao nível de significância de 5%).</w:t>
      </w:r>
    </w:p>
    <w:p w:rsidR="00C43F1E" w:rsidRPr="00FD6136" w:rsidRDefault="00C43F1E"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Considerando os testes realizados quanto a distribuição de dividendos e juros sobre capital próprio, identificou-se que as empresas que adotam a mensuração ao valor justo distribuíram percentual médio maior que as empresas que adotaram o método de custo, considerando um nível de significância de 5%. </w:t>
      </w:r>
    </w:p>
    <w:p w:rsidR="00DB3F2F" w:rsidRPr="00FD6136" w:rsidRDefault="00DB3F2F"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Assim, não podemos afirmar a existência de conflitos de agência, uma vez que as empresas que optaram pelo método do Valor Justo, em média, tiveram maior volume de distribuição de Dividendos/JCP, muito embora tenham obtido maiores Lucro, o que pode ter sido incentivo aos Administradores para o recebimento de bônus.</w:t>
      </w:r>
    </w:p>
    <w:p w:rsidR="00DB1BEF" w:rsidRDefault="00C95200"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Para futuros estudos, recomenda-se a inclusão de outras variáveis, a exemplo do Pagamento de Bônus aos Administradores e a inclusão de outros segmentos de empresas para aumentar a amostra e o número de observações do estudo.</w:t>
      </w:r>
    </w:p>
    <w:p w:rsidR="002D0177" w:rsidRDefault="002D0177" w:rsidP="00FD6136">
      <w:pPr>
        <w:ind w:firstLine="709"/>
        <w:jc w:val="both"/>
        <w:rPr>
          <w:rFonts w:ascii="Times New Roman" w:hAnsi="Times New Roman"/>
          <w:spacing w:val="-8"/>
          <w:sz w:val="24"/>
          <w:szCs w:val="24"/>
        </w:rPr>
      </w:pPr>
    </w:p>
    <w:p w:rsidR="00EB7484" w:rsidRDefault="00EB7484" w:rsidP="00FD6136">
      <w:pPr>
        <w:ind w:firstLine="709"/>
        <w:jc w:val="both"/>
        <w:rPr>
          <w:rFonts w:ascii="Times New Roman" w:hAnsi="Times New Roman"/>
          <w:spacing w:val="-8"/>
          <w:sz w:val="24"/>
          <w:szCs w:val="24"/>
        </w:rPr>
      </w:pPr>
    </w:p>
    <w:p w:rsidR="00C95200" w:rsidRPr="00FC066A" w:rsidRDefault="00D31D56" w:rsidP="00E41ABC">
      <w:pPr>
        <w:rPr>
          <w:rFonts w:ascii="Times New Roman" w:hAnsi="Times New Roman"/>
          <w:b/>
          <w:caps/>
          <w:spacing w:val="-8"/>
          <w:sz w:val="24"/>
          <w:szCs w:val="24"/>
        </w:rPr>
      </w:pPr>
      <w:r w:rsidRPr="00FC066A">
        <w:rPr>
          <w:rFonts w:ascii="Times New Roman" w:hAnsi="Times New Roman"/>
          <w:b/>
          <w:caps/>
          <w:spacing w:val="-8"/>
          <w:sz w:val="24"/>
          <w:szCs w:val="24"/>
        </w:rPr>
        <w:t>Referências</w:t>
      </w:r>
    </w:p>
    <w:p w:rsidR="00E41ABC" w:rsidRPr="00F345DA" w:rsidRDefault="00E41ABC" w:rsidP="00E41ABC">
      <w:pPr>
        <w:rPr>
          <w:rFonts w:ascii="Times New Roman" w:hAnsi="Times New Roman"/>
          <w:b/>
          <w:spacing w:val="-8"/>
          <w:sz w:val="24"/>
          <w:szCs w:val="24"/>
        </w:rPr>
      </w:pPr>
    </w:p>
    <w:p w:rsidR="00C95200" w:rsidRPr="00A57572" w:rsidRDefault="00C95200" w:rsidP="00FD6136">
      <w:pPr>
        <w:ind w:firstLine="709"/>
        <w:jc w:val="both"/>
        <w:rPr>
          <w:rFonts w:ascii="Times New Roman" w:hAnsi="Times New Roman"/>
          <w:spacing w:val="-8"/>
          <w:sz w:val="24"/>
          <w:szCs w:val="24"/>
        </w:rPr>
      </w:pPr>
      <w:r w:rsidRPr="00A57572">
        <w:rPr>
          <w:rFonts w:ascii="Times New Roman" w:hAnsi="Times New Roman"/>
          <w:spacing w:val="-8"/>
          <w:sz w:val="24"/>
          <w:szCs w:val="24"/>
        </w:rPr>
        <w:t>Abreu, R., Magro, F., &amp; David, F. (2009). Sistema de normalização contabilístico: justo valor versus credibilidade contabilística.</w:t>
      </w:r>
    </w:p>
    <w:p w:rsidR="00C95200" w:rsidRPr="00DC0672" w:rsidRDefault="00C95200" w:rsidP="00FD6136">
      <w:pPr>
        <w:ind w:firstLine="709"/>
        <w:jc w:val="both"/>
        <w:rPr>
          <w:rFonts w:ascii="Times New Roman" w:hAnsi="Times New Roman"/>
          <w:spacing w:val="-8"/>
          <w:sz w:val="24"/>
          <w:szCs w:val="24"/>
        </w:rPr>
      </w:pPr>
      <w:r w:rsidRPr="00DC0672">
        <w:rPr>
          <w:rFonts w:ascii="Times New Roman" w:hAnsi="Times New Roman"/>
          <w:spacing w:val="-8"/>
          <w:sz w:val="24"/>
          <w:szCs w:val="24"/>
        </w:rPr>
        <w:t>Batista, F. F., da Silva Prado, A. G., Machado, M. R., &amp; Paulo, E. (2013). Uma análise da mensuração e evidenciação de propriedades para investimento nas companhias brasileiras do setor de exploração de imóveis. Revista Ambiente Contabil, 5(1), 281.</w:t>
      </w:r>
    </w:p>
    <w:p w:rsidR="000C3C22" w:rsidRPr="00A57572" w:rsidRDefault="000C3C22" w:rsidP="00FD6136">
      <w:pPr>
        <w:ind w:firstLine="709"/>
        <w:jc w:val="both"/>
        <w:rPr>
          <w:rFonts w:ascii="Times New Roman" w:hAnsi="Times New Roman"/>
          <w:spacing w:val="-8"/>
          <w:sz w:val="24"/>
          <w:szCs w:val="24"/>
        </w:rPr>
      </w:pPr>
      <w:r w:rsidRPr="00F345DA">
        <w:rPr>
          <w:rFonts w:ascii="Times New Roman" w:hAnsi="Times New Roman"/>
          <w:spacing w:val="-8"/>
          <w:sz w:val="24"/>
          <w:szCs w:val="24"/>
        </w:rPr>
        <w:t>Brealey, R.A., Myers, S.C.E</w:t>
      </w:r>
      <w:r w:rsidR="00903500" w:rsidRPr="00A57572">
        <w:rPr>
          <w:rFonts w:ascii="Times New Roman" w:hAnsi="Times New Roman"/>
          <w:spacing w:val="-8"/>
          <w:sz w:val="24"/>
          <w:szCs w:val="24"/>
        </w:rPr>
        <w:t>,</w:t>
      </w:r>
      <w:r w:rsidRPr="00A57572">
        <w:rPr>
          <w:rFonts w:ascii="Times New Roman" w:hAnsi="Times New Roman"/>
          <w:spacing w:val="-8"/>
          <w:sz w:val="24"/>
          <w:szCs w:val="24"/>
        </w:rPr>
        <w:t>Allen, F. “Princípios de Finanças Corporativas”, 10ª ed., McGraw Hill, São Paulo, 2013.</w:t>
      </w:r>
    </w:p>
    <w:p w:rsidR="00C95200" w:rsidRPr="00212EDF" w:rsidRDefault="00C95200" w:rsidP="00FD6136">
      <w:pPr>
        <w:ind w:firstLine="709"/>
        <w:jc w:val="both"/>
        <w:rPr>
          <w:rFonts w:ascii="Times New Roman" w:hAnsi="Times New Roman"/>
          <w:spacing w:val="-8"/>
          <w:sz w:val="24"/>
          <w:szCs w:val="24"/>
          <w:lang w:val="en-US"/>
        </w:rPr>
      </w:pPr>
      <w:r w:rsidRPr="00212EDF">
        <w:rPr>
          <w:rFonts w:ascii="Times New Roman" w:hAnsi="Times New Roman"/>
          <w:spacing w:val="-8"/>
          <w:sz w:val="24"/>
          <w:szCs w:val="24"/>
          <w:lang w:val="en-US"/>
        </w:rPr>
        <w:t>Cairns, D. (2006). The use of fair value in IFRS. Accounting in Europe, 3(1), 5-22.</w:t>
      </w:r>
    </w:p>
    <w:p w:rsidR="00B53D66" w:rsidRPr="00C02B2B" w:rsidRDefault="00B53D66" w:rsidP="00FD6136">
      <w:pPr>
        <w:ind w:firstLine="709"/>
        <w:jc w:val="both"/>
        <w:rPr>
          <w:rFonts w:ascii="Times New Roman" w:hAnsi="Times New Roman"/>
          <w:spacing w:val="-8"/>
          <w:sz w:val="24"/>
          <w:szCs w:val="24"/>
        </w:rPr>
      </w:pPr>
      <w:r w:rsidRPr="00212EDF">
        <w:rPr>
          <w:rFonts w:ascii="Times New Roman" w:hAnsi="Times New Roman"/>
          <w:spacing w:val="-8"/>
          <w:sz w:val="24"/>
          <w:szCs w:val="24"/>
          <w:lang w:val="en-US"/>
        </w:rPr>
        <w:t xml:space="preserve">Costa, T. D. A., Silva, A. H., &amp; </w:t>
      </w:r>
      <w:proofErr w:type="spellStart"/>
      <w:r w:rsidRPr="00212EDF">
        <w:rPr>
          <w:rFonts w:ascii="Times New Roman" w:hAnsi="Times New Roman"/>
          <w:spacing w:val="-8"/>
          <w:sz w:val="24"/>
          <w:szCs w:val="24"/>
          <w:lang w:val="en-US"/>
        </w:rPr>
        <w:t>Laurencel</w:t>
      </w:r>
      <w:proofErr w:type="spellEnd"/>
      <w:r w:rsidRPr="00212EDF">
        <w:rPr>
          <w:rFonts w:ascii="Times New Roman" w:hAnsi="Times New Roman"/>
          <w:spacing w:val="-8"/>
          <w:sz w:val="24"/>
          <w:szCs w:val="24"/>
          <w:lang w:val="en-US"/>
        </w:rPr>
        <w:t xml:space="preserve">, L. D. C. (2013). </w:t>
      </w:r>
      <w:r w:rsidRPr="00DC0672">
        <w:rPr>
          <w:rFonts w:ascii="Times New Roman" w:hAnsi="Times New Roman"/>
          <w:spacing w:val="-8"/>
          <w:sz w:val="24"/>
          <w:szCs w:val="24"/>
        </w:rPr>
        <w:t>Escolha de práticas contábeis: um estudo sobre propriedades para investimento em empresas brasileiras não financeiras de capital aberto. Revista de Contabilidade e Organizações, 7(</w:t>
      </w:r>
      <w:r w:rsidRPr="00F345DA">
        <w:rPr>
          <w:rFonts w:ascii="Times New Roman" w:hAnsi="Times New Roman"/>
          <w:spacing w:val="-8"/>
          <w:sz w:val="24"/>
          <w:szCs w:val="24"/>
        </w:rPr>
        <w:t>18).</w:t>
      </w:r>
    </w:p>
    <w:p w:rsidR="00FE05BC" w:rsidRPr="00343BAE" w:rsidRDefault="00FE05BC" w:rsidP="00FD6136">
      <w:pPr>
        <w:ind w:firstLine="709"/>
        <w:jc w:val="both"/>
        <w:rPr>
          <w:rFonts w:ascii="Times New Roman" w:hAnsi="Times New Roman"/>
          <w:spacing w:val="-8"/>
          <w:sz w:val="24"/>
          <w:szCs w:val="24"/>
        </w:rPr>
      </w:pPr>
      <w:r w:rsidRPr="00A93188">
        <w:rPr>
          <w:rFonts w:ascii="Times New Roman" w:hAnsi="Times New Roman"/>
          <w:spacing w:val="-8"/>
          <w:sz w:val="24"/>
          <w:szCs w:val="24"/>
        </w:rPr>
        <w:t xml:space="preserve">COMITÊ, D. P. C. (2009). Pronunciamento Técnico CPC 28–Propriedade para Investimento. Recuperado em </w:t>
      </w:r>
      <w:hyperlink r:id="rId22" w:history="1">
        <w:r w:rsidRPr="00FD6136">
          <w:t>http://static.cpc.mediagroup.com.br/Documentos/320_CPC_28_rev%2008.pdf</w:t>
        </w:r>
      </w:hyperlink>
      <w:r w:rsidRPr="00275F5B">
        <w:rPr>
          <w:rFonts w:ascii="Times New Roman" w:hAnsi="Times New Roman"/>
          <w:spacing w:val="-8"/>
          <w:sz w:val="24"/>
          <w:szCs w:val="24"/>
        </w:rPr>
        <w:t xml:space="preserve">. </w:t>
      </w:r>
    </w:p>
    <w:p w:rsidR="00C95200" w:rsidRPr="00DC0672" w:rsidRDefault="00C95200" w:rsidP="00FD6136">
      <w:pPr>
        <w:ind w:firstLine="709"/>
        <w:jc w:val="both"/>
        <w:rPr>
          <w:rFonts w:ascii="Times New Roman" w:hAnsi="Times New Roman"/>
          <w:spacing w:val="-8"/>
          <w:sz w:val="24"/>
          <w:szCs w:val="24"/>
        </w:rPr>
      </w:pPr>
      <w:r w:rsidRPr="00DC0672">
        <w:rPr>
          <w:rFonts w:ascii="Times New Roman" w:hAnsi="Times New Roman"/>
          <w:spacing w:val="-8"/>
          <w:sz w:val="24"/>
          <w:szCs w:val="24"/>
        </w:rPr>
        <w:t>Fávero, L. P.; Belfiore, P.; Silva, F. L.; Chan, B. L. (2009</w:t>
      </w:r>
      <w:r w:rsidRPr="00275F5B">
        <w:rPr>
          <w:rFonts w:ascii="Times New Roman" w:hAnsi="Times New Roman"/>
          <w:spacing w:val="-8"/>
          <w:sz w:val="24"/>
          <w:szCs w:val="24"/>
        </w:rPr>
        <w:t xml:space="preserve">). </w:t>
      </w:r>
      <w:r w:rsidRPr="00343BAE">
        <w:rPr>
          <w:rFonts w:ascii="Times New Roman" w:hAnsi="Times New Roman"/>
          <w:spacing w:val="-8"/>
          <w:sz w:val="24"/>
          <w:szCs w:val="24"/>
        </w:rPr>
        <w:t xml:space="preserve">Análise de Dados: modelagem multivariada para </w:t>
      </w:r>
      <w:r w:rsidRPr="00DC0672">
        <w:rPr>
          <w:rFonts w:ascii="Times New Roman" w:hAnsi="Times New Roman"/>
          <w:spacing w:val="-8"/>
          <w:sz w:val="24"/>
          <w:szCs w:val="24"/>
        </w:rPr>
        <w:t>tomada de decisões. Rio de Janeiro: Elsevier, 9ª Tiragem, Capítulo 12.</w:t>
      </w:r>
    </w:p>
    <w:p w:rsidR="00C95200" w:rsidRPr="00A57572" w:rsidRDefault="00C95200"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Hair, J. F., Black, W. C., Babin, B. J., Anderson, R. E., &amp; Tatham, R. L. (2009). </w:t>
      </w:r>
      <w:r w:rsidRPr="00A57572">
        <w:rPr>
          <w:rFonts w:ascii="Times New Roman" w:hAnsi="Times New Roman"/>
          <w:spacing w:val="-8"/>
          <w:sz w:val="24"/>
          <w:szCs w:val="24"/>
        </w:rPr>
        <w:t xml:space="preserve">Análise multivariada de dados. Bookman Editora. </w:t>
      </w:r>
    </w:p>
    <w:p w:rsidR="00C95200" w:rsidRPr="00212EDF" w:rsidRDefault="00C95200" w:rsidP="00FD6136">
      <w:pPr>
        <w:ind w:firstLine="709"/>
        <w:jc w:val="both"/>
        <w:rPr>
          <w:rFonts w:ascii="Times New Roman" w:hAnsi="Times New Roman"/>
          <w:spacing w:val="-8"/>
          <w:sz w:val="24"/>
          <w:szCs w:val="24"/>
          <w:lang w:val="en-US"/>
        </w:rPr>
      </w:pPr>
      <w:r w:rsidRPr="00C02B2B">
        <w:rPr>
          <w:rFonts w:ascii="Times New Roman" w:hAnsi="Times New Roman"/>
          <w:spacing w:val="-8"/>
          <w:sz w:val="24"/>
          <w:szCs w:val="24"/>
        </w:rPr>
        <w:t>Iudícibus, S., Martins, E., Gelbecke, E.R., Santos,</w:t>
      </w:r>
      <w:r w:rsidR="00F001C7" w:rsidRPr="00C02B2B">
        <w:rPr>
          <w:rFonts w:ascii="Times New Roman" w:hAnsi="Times New Roman"/>
          <w:spacing w:val="-8"/>
          <w:sz w:val="24"/>
          <w:szCs w:val="24"/>
        </w:rPr>
        <w:t xml:space="preserve"> </w:t>
      </w:r>
      <w:r w:rsidRPr="00A93188">
        <w:rPr>
          <w:rFonts w:ascii="Times New Roman" w:hAnsi="Times New Roman"/>
          <w:spacing w:val="-8"/>
          <w:sz w:val="24"/>
          <w:szCs w:val="24"/>
        </w:rPr>
        <w:t>A (2013).</w:t>
      </w:r>
      <w:r w:rsidRPr="00E97104">
        <w:rPr>
          <w:rFonts w:ascii="Times New Roman" w:hAnsi="Times New Roman"/>
          <w:spacing w:val="-8"/>
          <w:sz w:val="24"/>
          <w:szCs w:val="24"/>
        </w:rPr>
        <w:t xml:space="preserve"> Manual de contabilidade societária. 2. ed. </w:t>
      </w:r>
      <w:r w:rsidRPr="00212EDF">
        <w:rPr>
          <w:rFonts w:ascii="Times New Roman" w:hAnsi="Times New Roman"/>
          <w:spacing w:val="-8"/>
          <w:sz w:val="24"/>
          <w:szCs w:val="24"/>
          <w:lang w:val="en-US"/>
        </w:rPr>
        <w:t>São Paulo: Atlas, 2013.</w:t>
      </w:r>
    </w:p>
    <w:p w:rsidR="00C95200" w:rsidRPr="00C91A25" w:rsidRDefault="00C95200" w:rsidP="00FD6136">
      <w:pPr>
        <w:ind w:firstLine="709"/>
        <w:jc w:val="both"/>
        <w:rPr>
          <w:rFonts w:ascii="Times New Roman" w:hAnsi="Times New Roman"/>
          <w:spacing w:val="-8"/>
          <w:sz w:val="24"/>
          <w:szCs w:val="24"/>
        </w:rPr>
      </w:pPr>
      <w:r w:rsidRPr="00212EDF">
        <w:rPr>
          <w:rFonts w:ascii="Times New Roman" w:hAnsi="Times New Roman"/>
          <w:spacing w:val="-8"/>
          <w:sz w:val="24"/>
          <w:szCs w:val="24"/>
          <w:lang w:val="en-US"/>
        </w:rPr>
        <w:t xml:space="preserve">Jensen, M. C., &amp; </w:t>
      </w:r>
      <w:proofErr w:type="spellStart"/>
      <w:r w:rsidRPr="00212EDF">
        <w:rPr>
          <w:rFonts w:ascii="Times New Roman" w:hAnsi="Times New Roman"/>
          <w:spacing w:val="-8"/>
          <w:sz w:val="24"/>
          <w:szCs w:val="24"/>
          <w:lang w:val="en-US"/>
        </w:rPr>
        <w:t>Meckling</w:t>
      </w:r>
      <w:proofErr w:type="spellEnd"/>
      <w:r w:rsidRPr="00212EDF">
        <w:rPr>
          <w:rFonts w:ascii="Times New Roman" w:hAnsi="Times New Roman"/>
          <w:spacing w:val="-8"/>
          <w:sz w:val="24"/>
          <w:szCs w:val="24"/>
          <w:lang w:val="en-US"/>
        </w:rPr>
        <w:t xml:space="preserve">, W. H. (1976). Theory of the firm: Managerial behavior, agency costs and ownership structure. </w:t>
      </w:r>
      <w:proofErr w:type="spellStart"/>
      <w:r w:rsidRPr="00C91A25">
        <w:rPr>
          <w:rFonts w:ascii="Times New Roman" w:hAnsi="Times New Roman"/>
          <w:spacing w:val="-8"/>
          <w:sz w:val="24"/>
          <w:szCs w:val="24"/>
        </w:rPr>
        <w:t>Journal</w:t>
      </w:r>
      <w:proofErr w:type="spellEnd"/>
      <w:r w:rsidRPr="00C91A25">
        <w:rPr>
          <w:rFonts w:ascii="Times New Roman" w:hAnsi="Times New Roman"/>
          <w:spacing w:val="-8"/>
          <w:sz w:val="24"/>
          <w:szCs w:val="24"/>
        </w:rPr>
        <w:t xml:space="preserve"> </w:t>
      </w:r>
      <w:proofErr w:type="spellStart"/>
      <w:r w:rsidRPr="00C91A25">
        <w:rPr>
          <w:rFonts w:ascii="Times New Roman" w:hAnsi="Times New Roman"/>
          <w:spacing w:val="-8"/>
          <w:sz w:val="24"/>
          <w:szCs w:val="24"/>
        </w:rPr>
        <w:t>of</w:t>
      </w:r>
      <w:proofErr w:type="spellEnd"/>
      <w:r w:rsidRPr="00C91A25">
        <w:rPr>
          <w:rFonts w:ascii="Times New Roman" w:hAnsi="Times New Roman"/>
          <w:spacing w:val="-8"/>
          <w:sz w:val="24"/>
          <w:szCs w:val="24"/>
        </w:rPr>
        <w:t xml:space="preserve"> financial </w:t>
      </w:r>
      <w:proofErr w:type="spellStart"/>
      <w:r w:rsidRPr="00C91A25">
        <w:rPr>
          <w:rFonts w:ascii="Times New Roman" w:hAnsi="Times New Roman"/>
          <w:spacing w:val="-8"/>
          <w:sz w:val="24"/>
          <w:szCs w:val="24"/>
        </w:rPr>
        <w:t>economics</w:t>
      </w:r>
      <w:proofErr w:type="spellEnd"/>
      <w:r w:rsidRPr="00C91A25">
        <w:rPr>
          <w:rFonts w:ascii="Times New Roman" w:hAnsi="Times New Roman"/>
          <w:spacing w:val="-8"/>
          <w:sz w:val="24"/>
          <w:szCs w:val="24"/>
        </w:rPr>
        <w:t>, 3(4), 305-360.</w:t>
      </w:r>
      <w:r w:rsidRPr="00C91A25" w:rsidDel="00E323C1">
        <w:rPr>
          <w:rFonts w:ascii="Times New Roman" w:hAnsi="Times New Roman"/>
          <w:spacing w:val="-8"/>
          <w:sz w:val="24"/>
          <w:szCs w:val="24"/>
        </w:rPr>
        <w:t xml:space="preserve"> </w:t>
      </w:r>
    </w:p>
    <w:p w:rsidR="00C95200" w:rsidRPr="00FD6136" w:rsidRDefault="00C95200" w:rsidP="00FD6136">
      <w:pPr>
        <w:ind w:firstLine="709"/>
        <w:jc w:val="both"/>
        <w:rPr>
          <w:rFonts w:ascii="Times New Roman" w:hAnsi="Times New Roman"/>
          <w:spacing w:val="-8"/>
          <w:sz w:val="24"/>
          <w:szCs w:val="24"/>
        </w:rPr>
      </w:pPr>
      <w:r w:rsidRPr="00C91A25">
        <w:rPr>
          <w:rFonts w:ascii="Times New Roman" w:hAnsi="Times New Roman"/>
          <w:spacing w:val="-8"/>
          <w:sz w:val="24"/>
          <w:szCs w:val="24"/>
        </w:rPr>
        <w:t>Kolozsvari, A. C., Marques, J. A. V. D. C., &amp; Macedo, M. A. D. S. (201</w:t>
      </w:r>
      <w:r w:rsidR="0023745F" w:rsidRPr="00C91A25">
        <w:rPr>
          <w:rFonts w:ascii="Times New Roman" w:hAnsi="Times New Roman"/>
          <w:spacing w:val="-8"/>
          <w:sz w:val="24"/>
          <w:szCs w:val="24"/>
        </w:rPr>
        <w:t>4</w:t>
      </w:r>
      <w:r w:rsidRPr="00275F5B">
        <w:rPr>
          <w:rFonts w:ascii="Times New Roman" w:hAnsi="Times New Roman"/>
          <w:spacing w:val="-8"/>
          <w:sz w:val="24"/>
          <w:szCs w:val="24"/>
        </w:rPr>
        <w:t>). Escolhas Contábeis: Análise dos Efeitos da Mensuração a Custo ou a Valor Justo das Propriedades para Investimento sobre o Desempenho Reportado no Segmento de Exploração Imobiliári</w:t>
      </w:r>
      <w:r w:rsidRPr="00343BAE">
        <w:rPr>
          <w:rFonts w:ascii="Times New Roman" w:hAnsi="Times New Roman"/>
          <w:spacing w:val="-8"/>
          <w:sz w:val="24"/>
          <w:szCs w:val="24"/>
        </w:rPr>
        <w:t xml:space="preserve">a. </w:t>
      </w:r>
      <w:r w:rsidRPr="00FD6136">
        <w:rPr>
          <w:rFonts w:ascii="Times New Roman" w:hAnsi="Times New Roman"/>
          <w:spacing w:val="-8"/>
          <w:sz w:val="24"/>
          <w:szCs w:val="24"/>
        </w:rPr>
        <w:t>Pensar Contábil, 16(61).</w:t>
      </w:r>
    </w:p>
    <w:p w:rsidR="00222735" w:rsidRPr="00FD6136" w:rsidRDefault="00222735" w:rsidP="00FD6136">
      <w:pPr>
        <w:ind w:firstLine="709"/>
        <w:jc w:val="both"/>
        <w:rPr>
          <w:rFonts w:ascii="Times New Roman" w:hAnsi="Times New Roman"/>
          <w:spacing w:val="-8"/>
          <w:sz w:val="24"/>
          <w:szCs w:val="24"/>
        </w:rPr>
      </w:pPr>
      <w:r w:rsidRPr="00FD6136">
        <w:rPr>
          <w:rFonts w:ascii="Times New Roman" w:hAnsi="Times New Roman"/>
          <w:spacing w:val="-8"/>
          <w:sz w:val="24"/>
          <w:szCs w:val="24"/>
        </w:rPr>
        <w:t xml:space="preserve">Lei n. 11.638, de 28 de dezembro de 2007. (2007, 28 de dezembro). Altera e revoga dispositivos da Lei no 6.404, de 15 de dezembro de 1976, e da Lei no 6.385, de 7 de dezembro de 1976, e estende às sociedades de grande porte disposições relativas à elaboração e divulgação de demonstrações financeiras. Recuperado de </w:t>
      </w:r>
      <w:hyperlink r:id="rId23" w:history="1">
        <w:r w:rsidRPr="00FD6136">
          <w:t>http://www.planalto.gov.br/ccivil_03/_ato2007-2010/2007/lei/l11638.htm</w:t>
        </w:r>
      </w:hyperlink>
      <w:r w:rsidRPr="00FD6136">
        <w:rPr>
          <w:rFonts w:ascii="Times New Roman" w:hAnsi="Times New Roman"/>
          <w:spacing w:val="-8"/>
          <w:sz w:val="24"/>
          <w:szCs w:val="24"/>
        </w:rPr>
        <w:t xml:space="preserve">. </w:t>
      </w:r>
    </w:p>
    <w:p w:rsidR="00C95200" w:rsidRPr="00212EDF" w:rsidRDefault="00C227C4" w:rsidP="00FD6136">
      <w:pPr>
        <w:ind w:firstLine="709"/>
        <w:jc w:val="both"/>
        <w:rPr>
          <w:rFonts w:ascii="Times New Roman" w:hAnsi="Times New Roman"/>
          <w:spacing w:val="-8"/>
          <w:sz w:val="24"/>
          <w:szCs w:val="24"/>
          <w:lang w:val="en-US"/>
        </w:rPr>
      </w:pPr>
      <w:r w:rsidRPr="00FD6136">
        <w:rPr>
          <w:rFonts w:ascii="Times New Roman" w:hAnsi="Times New Roman"/>
          <w:spacing w:val="-8"/>
          <w:sz w:val="24"/>
          <w:szCs w:val="24"/>
        </w:rPr>
        <w:t xml:space="preserve">Lopes, P. T., &amp; Rodrigues, L. L. (2007). </w:t>
      </w:r>
      <w:r w:rsidRPr="00212EDF">
        <w:rPr>
          <w:rFonts w:ascii="Times New Roman" w:hAnsi="Times New Roman"/>
          <w:spacing w:val="-8"/>
          <w:sz w:val="24"/>
          <w:szCs w:val="24"/>
          <w:lang w:val="en-US"/>
        </w:rPr>
        <w:t xml:space="preserve">Accounting for financial instruments: An analysis of the determinants of disclosure in the Portuguese stock exchange. The International Journal of </w:t>
      </w:r>
      <w:r w:rsidRPr="00212EDF">
        <w:rPr>
          <w:rFonts w:ascii="Times New Roman" w:hAnsi="Times New Roman"/>
          <w:spacing w:val="-8"/>
          <w:sz w:val="24"/>
          <w:szCs w:val="24"/>
          <w:lang w:val="en-US"/>
        </w:rPr>
        <w:lastRenderedPageBreak/>
        <w:t>Accounting, 42(1), 25-56.</w:t>
      </w:r>
      <w:r w:rsidR="00C95200" w:rsidRPr="00212EDF">
        <w:rPr>
          <w:rFonts w:ascii="Times New Roman" w:hAnsi="Times New Roman"/>
          <w:spacing w:val="-8"/>
          <w:sz w:val="24"/>
          <w:szCs w:val="24"/>
          <w:lang w:val="en-US"/>
        </w:rPr>
        <w:t xml:space="preserve">Lourenço, I., &amp; </w:t>
      </w:r>
      <w:proofErr w:type="spellStart"/>
      <w:r w:rsidR="00C95200" w:rsidRPr="00212EDF">
        <w:rPr>
          <w:rFonts w:ascii="Times New Roman" w:hAnsi="Times New Roman"/>
          <w:spacing w:val="-8"/>
          <w:sz w:val="24"/>
          <w:szCs w:val="24"/>
          <w:lang w:val="en-US"/>
        </w:rPr>
        <w:t>Curto</w:t>
      </w:r>
      <w:proofErr w:type="spellEnd"/>
      <w:r w:rsidR="00C95200" w:rsidRPr="00212EDF">
        <w:rPr>
          <w:rFonts w:ascii="Times New Roman" w:hAnsi="Times New Roman"/>
          <w:spacing w:val="-8"/>
          <w:sz w:val="24"/>
          <w:szCs w:val="24"/>
          <w:lang w:val="en-US"/>
        </w:rPr>
        <w:t>, J. D. (2008). The value relevance of investment property fair values.</w:t>
      </w:r>
    </w:p>
    <w:p w:rsidR="00C95200" w:rsidRPr="00C02B2B" w:rsidRDefault="00C95200" w:rsidP="00FD6136">
      <w:pPr>
        <w:ind w:firstLine="709"/>
        <w:jc w:val="both"/>
        <w:rPr>
          <w:rFonts w:ascii="Times New Roman" w:hAnsi="Times New Roman"/>
          <w:spacing w:val="-8"/>
          <w:sz w:val="24"/>
          <w:szCs w:val="24"/>
        </w:rPr>
      </w:pPr>
      <w:r w:rsidRPr="00212EDF">
        <w:rPr>
          <w:rFonts w:ascii="Times New Roman" w:hAnsi="Times New Roman"/>
          <w:spacing w:val="-8"/>
          <w:sz w:val="24"/>
          <w:szCs w:val="24"/>
          <w:lang w:val="en-US"/>
        </w:rPr>
        <w:t xml:space="preserve">Pereira, A. F. (2013). </w:t>
      </w:r>
      <w:r w:rsidRPr="00C02B2B">
        <w:rPr>
          <w:rFonts w:ascii="Times New Roman" w:hAnsi="Times New Roman"/>
          <w:spacing w:val="-8"/>
          <w:sz w:val="24"/>
          <w:szCs w:val="24"/>
        </w:rPr>
        <w:t xml:space="preserve">Determinantes na escolha do valor justo para propriedades para investimento </w:t>
      </w:r>
      <w:r w:rsidR="007F27FB">
        <w:rPr>
          <w:rFonts w:ascii="Times New Roman" w:hAnsi="Times New Roman"/>
          <w:spacing w:val="-8"/>
          <w:sz w:val="24"/>
          <w:szCs w:val="24"/>
        </w:rPr>
        <w:t>no Brasil (Dissertação de Mestrado</w:t>
      </w:r>
      <w:r w:rsidRPr="00C02B2B">
        <w:rPr>
          <w:rFonts w:ascii="Times New Roman" w:hAnsi="Times New Roman"/>
          <w:spacing w:val="-8"/>
          <w:sz w:val="24"/>
          <w:szCs w:val="24"/>
        </w:rPr>
        <w:t>, Universidade de São Paulo).</w:t>
      </w:r>
    </w:p>
    <w:p w:rsidR="00C95200" w:rsidRPr="00F345DA" w:rsidRDefault="00C95200" w:rsidP="00FD6136">
      <w:pPr>
        <w:ind w:firstLine="709"/>
        <w:jc w:val="both"/>
        <w:rPr>
          <w:rFonts w:ascii="Times New Roman" w:hAnsi="Times New Roman"/>
          <w:spacing w:val="-8"/>
          <w:sz w:val="24"/>
          <w:szCs w:val="24"/>
        </w:rPr>
      </w:pPr>
      <w:r w:rsidRPr="00DC0672">
        <w:rPr>
          <w:rFonts w:ascii="Times New Roman" w:hAnsi="Times New Roman"/>
          <w:spacing w:val="-8"/>
          <w:sz w:val="24"/>
          <w:szCs w:val="24"/>
        </w:rPr>
        <w:t>Rodrigues, A. M. G. (2013</w:t>
      </w:r>
      <w:r w:rsidRPr="00275F5B">
        <w:rPr>
          <w:rFonts w:ascii="Times New Roman" w:hAnsi="Times New Roman"/>
          <w:spacing w:val="-8"/>
          <w:sz w:val="24"/>
          <w:szCs w:val="24"/>
        </w:rPr>
        <w:t xml:space="preserve">). </w:t>
      </w:r>
      <w:r w:rsidR="00C97723" w:rsidRPr="00343BAE">
        <w:rPr>
          <w:rFonts w:ascii="Times New Roman" w:hAnsi="Times New Roman"/>
          <w:spacing w:val="-8"/>
          <w:sz w:val="24"/>
          <w:szCs w:val="24"/>
        </w:rPr>
        <w:t>Revisit</w:t>
      </w:r>
      <w:r w:rsidR="00C97723" w:rsidRPr="00DC0672">
        <w:rPr>
          <w:rFonts w:ascii="Times New Roman" w:hAnsi="Times New Roman"/>
          <w:spacing w:val="-8"/>
          <w:sz w:val="24"/>
          <w:szCs w:val="24"/>
        </w:rPr>
        <w:t>ando Algumas das Atuais Perplexidades do Conceito Normativo de Propriedades de Investimento</w:t>
      </w:r>
      <w:r w:rsidR="00E97104">
        <w:rPr>
          <w:rFonts w:ascii="Times New Roman" w:hAnsi="Times New Roman"/>
          <w:spacing w:val="-8"/>
          <w:sz w:val="24"/>
          <w:szCs w:val="24"/>
        </w:rPr>
        <w:t xml:space="preserve"> – o caso Português</w:t>
      </w:r>
      <w:r w:rsidRPr="00F345DA">
        <w:rPr>
          <w:rFonts w:ascii="Times New Roman" w:hAnsi="Times New Roman"/>
          <w:spacing w:val="-8"/>
          <w:sz w:val="24"/>
          <w:szCs w:val="24"/>
        </w:rPr>
        <w:t>. Revista de Contabilidade do Mestrado em Ciências Contábeis da UERJ, 18(1), 5-25.</w:t>
      </w:r>
    </w:p>
    <w:p w:rsidR="00C95200" w:rsidRPr="00212EDF" w:rsidRDefault="00C95200" w:rsidP="00FD6136">
      <w:pPr>
        <w:ind w:firstLine="709"/>
        <w:jc w:val="both"/>
        <w:rPr>
          <w:rFonts w:ascii="Times New Roman" w:hAnsi="Times New Roman"/>
          <w:spacing w:val="-8"/>
          <w:sz w:val="24"/>
          <w:szCs w:val="24"/>
          <w:lang w:val="en-US"/>
        </w:rPr>
      </w:pPr>
      <w:r w:rsidRPr="00212EDF">
        <w:rPr>
          <w:rFonts w:ascii="Times New Roman" w:hAnsi="Times New Roman"/>
          <w:spacing w:val="-8"/>
          <w:sz w:val="24"/>
          <w:szCs w:val="24"/>
          <w:lang w:val="en-US"/>
        </w:rPr>
        <w:t>So, S., &amp; Smith, M. (2009). Value‐relevance of presenting changes in fair value of investment properties in the income statement: Evidence from Hong Kong. Accounting and Business Research, 39(2), 103-118.</w:t>
      </w:r>
    </w:p>
    <w:p w:rsidR="00C95200" w:rsidRPr="00F345DA" w:rsidRDefault="00C95200" w:rsidP="00FD6136">
      <w:pPr>
        <w:ind w:firstLine="709"/>
        <w:jc w:val="both"/>
        <w:rPr>
          <w:rFonts w:ascii="Times New Roman" w:hAnsi="Times New Roman"/>
          <w:spacing w:val="-8"/>
          <w:sz w:val="24"/>
          <w:szCs w:val="24"/>
        </w:rPr>
      </w:pPr>
      <w:r w:rsidRPr="00212EDF">
        <w:rPr>
          <w:rFonts w:ascii="Times New Roman" w:hAnsi="Times New Roman"/>
          <w:spacing w:val="-8"/>
          <w:sz w:val="24"/>
          <w:szCs w:val="24"/>
          <w:lang w:val="en-US"/>
        </w:rPr>
        <w:t xml:space="preserve">Torres, F. (2011). </w:t>
      </w:r>
      <w:proofErr w:type="spellStart"/>
      <w:r w:rsidRPr="00212EDF">
        <w:rPr>
          <w:rFonts w:ascii="Times New Roman" w:hAnsi="Times New Roman"/>
          <w:spacing w:val="-8"/>
          <w:sz w:val="24"/>
          <w:szCs w:val="24"/>
          <w:lang w:val="en-US"/>
        </w:rPr>
        <w:t>Shoppings</w:t>
      </w:r>
      <w:proofErr w:type="spellEnd"/>
      <w:r w:rsidRPr="00212EDF">
        <w:rPr>
          <w:rFonts w:ascii="Times New Roman" w:hAnsi="Times New Roman"/>
          <w:spacing w:val="-8"/>
          <w:sz w:val="24"/>
          <w:szCs w:val="24"/>
          <w:lang w:val="en-US"/>
        </w:rPr>
        <w:t xml:space="preserve"> </w:t>
      </w:r>
      <w:proofErr w:type="spellStart"/>
      <w:r w:rsidRPr="00212EDF">
        <w:rPr>
          <w:rFonts w:ascii="Times New Roman" w:hAnsi="Times New Roman"/>
          <w:spacing w:val="-8"/>
          <w:sz w:val="24"/>
          <w:szCs w:val="24"/>
          <w:lang w:val="en-US"/>
        </w:rPr>
        <w:t>rejeitam</w:t>
      </w:r>
      <w:proofErr w:type="spellEnd"/>
      <w:r w:rsidRPr="00212EDF">
        <w:rPr>
          <w:rFonts w:ascii="Times New Roman" w:hAnsi="Times New Roman"/>
          <w:spacing w:val="-8"/>
          <w:sz w:val="24"/>
          <w:szCs w:val="24"/>
          <w:lang w:val="en-US"/>
        </w:rPr>
        <w:t xml:space="preserve"> ‘valor </w:t>
      </w:r>
      <w:proofErr w:type="spellStart"/>
      <w:r w:rsidRPr="00212EDF">
        <w:rPr>
          <w:rFonts w:ascii="Times New Roman" w:hAnsi="Times New Roman"/>
          <w:spacing w:val="-8"/>
          <w:sz w:val="24"/>
          <w:szCs w:val="24"/>
          <w:lang w:val="en-US"/>
        </w:rPr>
        <w:t>justo</w:t>
      </w:r>
      <w:proofErr w:type="spellEnd"/>
      <w:r w:rsidRPr="00212EDF">
        <w:rPr>
          <w:rFonts w:ascii="Times New Roman" w:hAnsi="Times New Roman"/>
          <w:spacing w:val="-8"/>
          <w:sz w:val="24"/>
          <w:szCs w:val="24"/>
          <w:lang w:val="en-US"/>
        </w:rPr>
        <w:t xml:space="preserve">’. </w:t>
      </w:r>
      <w:r w:rsidRPr="00F345DA">
        <w:rPr>
          <w:rFonts w:ascii="Times New Roman" w:hAnsi="Times New Roman"/>
          <w:spacing w:val="-8"/>
          <w:sz w:val="24"/>
          <w:szCs w:val="24"/>
        </w:rPr>
        <w:t>Jornal Valor Econômico.</w:t>
      </w:r>
    </w:p>
    <w:p w:rsidR="00A12D2A" w:rsidRPr="00FD6136" w:rsidRDefault="00A12D2A" w:rsidP="00FD6136">
      <w:pPr>
        <w:ind w:firstLine="709"/>
        <w:jc w:val="both"/>
        <w:rPr>
          <w:rFonts w:ascii="Times New Roman" w:hAnsi="Times New Roman"/>
          <w:spacing w:val="-8"/>
          <w:sz w:val="24"/>
          <w:szCs w:val="24"/>
        </w:rPr>
      </w:pPr>
    </w:p>
    <w:sectPr w:rsidR="00A12D2A" w:rsidRPr="00FD6136" w:rsidSect="00175F61">
      <w:headerReference w:type="even" r:id="rId24"/>
      <w:headerReference w:type="default" r:id="rId25"/>
      <w:footerReference w:type="even" r:id="rId26"/>
      <w:footerReference w:type="default" r:id="rId27"/>
      <w:headerReference w:type="first" r:id="rId28"/>
      <w:footerReference w:type="first" r:id="rId2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A6D" w:rsidRDefault="00387A6D" w:rsidP="00A02924">
      <w:r>
        <w:separator/>
      </w:r>
    </w:p>
  </w:endnote>
  <w:endnote w:type="continuationSeparator" w:id="0">
    <w:p w:rsidR="00387A6D" w:rsidRDefault="00387A6D" w:rsidP="00A0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3C" w:rsidRDefault="00737B3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924" w:rsidRPr="00737B3C" w:rsidRDefault="00A02924" w:rsidP="00737B3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3C" w:rsidRDefault="00737B3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A6D" w:rsidRDefault="00387A6D" w:rsidP="00A02924">
      <w:r>
        <w:separator/>
      </w:r>
    </w:p>
  </w:footnote>
  <w:footnote w:type="continuationSeparator" w:id="0">
    <w:p w:rsidR="00387A6D" w:rsidRDefault="00387A6D" w:rsidP="00A02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3C" w:rsidRDefault="00737B3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3C" w:rsidRDefault="00737B3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3C" w:rsidRDefault="00737B3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93FC5"/>
    <w:multiLevelType w:val="multilevel"/>
    <w:tmpl w:val="214A8434"/>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7670345"/>
    <w:multiLevelType w:val="hybridMultilevel"/>
    <w:tmpl w:val="2E5027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9D2393A"/>
    <w:multiLevelType w:val="multilevel"/>
    <w:tmpl w:val="2674B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924"/>
    <w:rsid w:val="000031B8"/>
    <w:rsid w:val="00005895"/>
    <w:rsid w:val="00007C59"/>
    <w:rsid w:val="000210E7"/>
    <w:rsid w:val="000274E7"/>
    <w:rsid w:val="00032F0C"/>
    <w:rsid w:val="0004058E"/>
    <w:rsid w:val="00043DB6"/>
    <w:rsid w:val="0005361B"/>
    <w:rsid w:val="0006169B"/>
    <w:rsid w:val="00063682"/>
    <w:rsid w:val="00075D0A"/>
    <w:rsid w:val="000760F7"/>
    <w:rsid w:val="00082451"/>
    <w:rsid w:val="000B0D66"/>
    <w:rsid w:val="000B55F5"/>
    <w:rsid w:val="000C3C22"/>
    <w:rsid w:val="000C3E4F"/>
    <w:rsid w:val="000D15CB"/>
    <w:rsid w:val="000D34C1"/>
    <w:rsid w:val="000D7E90"/>
    <w:rsid w:val="000E13A9"/>
    <w:rsid w:val="00114C60"/>
    <w:rsid w:val="00126D7B"/>
    <w:rsid w:val="001313ED"/>
    <w:rsid w:val="00133FAA"/>
    <w:rsid w:val="00164BA9"/>
    <w:rsid w:val="0016581F"/>
    <w:rsid w:val="00165D3A"/>
    <w:rsid w:val="00166189"/>
    <w:rsid w:val="00167448"/>
    <w:rsid w:val="001724D9"/>
    <w:rsid w:val="00175F61"/>
    <w:rsid w:val="001B3467"/>
    <w:rsid w:val="001B777B"/>
    <w:rsid w:val="001D3E1D"/>
    <w:rsid w:val="001E62DF"/>
    <w:rsid w:val="001F37C9"/>
    <w:rsid w:val="00206C3A"/>
    <w:rsid w:val="00212EDF"/>
    <w:rsid w:val="00222735"/>
    <w:rsid w:val="00224364"/>
    <w:rsid w:val="0023745F"/>
    <w:rsid w:val="00244106"/>
    <w:rsid w:val="00255AD6"/>
    <w:rsid w:val="00263F2F"/>
    <w:rsid w:val="002727C5"/>
    <w:rsid w:val="0027305A"/>
    <w:rsid w:val="00274B26"/>
    <w:rsid w:val="00275F5B"/>
    <w:rsid w:val="002C2DE4"/>
    <w:rsid w:val="002C3C98"/>
    <w:rsid w:val="002C6895"/>
    <w:rsid w:val="002D0177"/>
    <w:rsid w:val="002D4DAD"/>
    <w:rsid w:val="002D7BBB"/>
    <w:rsid w:val="002E21D0"/>
    <w:rsid w:val="002E729D"/>
    <w:rsid w:val="00335CB7"/>
    <w:rsid w:val="00343BAE"/>
    <w:rsid w:val="003523CC"/>
    <w:rsid w:val="00356332"/>
    <w:rsid w:val="00361941"/>
    <w:rsid w:val="003768F8"/>
    <w:rsid w:val="0038040F"/>
    <w:rsid w:val="00387A6D"/>
    <w:rsid w:val="00391F5F"/>
    <w:rsid w:val="003A4A8A"/>
    <w:rsid w:val="003A5686"/>
    <w:rsid w:val="003B2F63"/>
    <w:rsid w:val="003B6F38"/>
    <w:rsid w:val="003C767E"/>
    <w:rsid w:val="003D5E14"/>
    <w:rsid w:val="003D7485"/>
    <w:rsid w:val="003F0EE1"/>
    <w:rsid w:val="003F1A72"/>
    <w:rsid w:val="003F322F"/>
    <w:rsid w:val="00413A72"/>
    <w:rsid w:val="00420BDA"/>
    <w:rsid w:val="004255DB"/>
    <w:rsid w:val="0042657B"/>
    <w:rsid w:val="00434FE5"/>
    <w:rsid w:val="004365E4"/>
    <w:rsid w:val="00440F3E"/>
    <w:rsid w:val="00445AA5"/>
    <w:rsid w:val="0044798F"/>
    <w:rsid w:val="00461ADE"/>
    <w:rsid w:val="004722E0"/>
    <w:rsid w:val="004740AE"/>
    <w:rsid w:val="00476359"/>
    <w:rsid w:val="00477A61"/>
    <w:rsid w:val="004902B9"/>
    <w:rsid w:val="004968D1"/>
    <w:rsid w:val="004A2EB2"/>
    <w:rsid w:val="004A3B96"/>
    <w:rsid w:val="004A6076"/>
    <w:rsid w:val="004A7F34"/>
    <w:rsid w:val="004B1B7E"/>
    <w:rsid w:val="004C655C"/>
    <w:rsid w:val="004C67A4"/>
    <w:rsid w:val="004E0B1E"/>
    <w:rsid w:val="004F3A9B"/>
    <w:rsid w:val="00513FBF"/>
    <w:rsid w:val="00530834"/>
    <w:rsid w:val="00530970"/>
    <w:rsid w:val="00534568"/>
    <w:rsid w:val="00541CE6"/>
    <w:rsid w:val="00557FC4"/>
    <w:rsid w:val="00563156"/>
    <w:rsid w:val="005765BB"/>
    <w:rsid w:val="0058549B"/>
    <w:rsid w:val="005A0CF3"/>
    <w:rsid w:val="005A2A8B"/>
    <w:rsid w:val="005A76F8"/>
    <w:rsid w:val="005B3960"/>
    <w:rsid w:val="005C1605"/>
    <w:rsid w:val="005C55A4"/>
    <w:rsid w:val="005F05A8"/>
    <w:rsid w:val="0061191B"/>
    <w:rsid w:val="0061681A"/>
    <w:rsid w:val="006258E4"/>
    <w:rsid w:val="00633428"/>
    <w:rsid w:val="006348C9"/>
    <w:rsid w:val="0064477A"/>
    <w:rsid w:val="00646439"/>
    <w:rsid w:val="006649FD"/>
    <w:rsid w:val="006775A5"/>
    <w:rsid w:val="006828DA"/>
    <w:rsid w:val="00693B62"/>
    <w:rsid w:val="006A4DD8"/>
    <w:rsid w:val="006C4783"/>
    <w:rsid w:val="006D2172"/>
    <w:rsid w:val="006D6612"/>
    <w:rsid w:val="006E5B72"/>
    <w:rsid w:val="006F6B36"/>
    <w:rsid w:val="00702EE9"/>
    <w:rsid w:val="0070640B"/>
    <w:rsid w:val="0070776E"/>
    <w:rsid w:val="00712F86"/>
    <w:rsid w:val="007253E8"/>
    <w:rsid w:val="00737B3C"/>
    <w:rsid w:val="00747081"/>
    <w:rsid w:val="00752991"/>
    <w:rsid w:val="00754E28"/>
    <w:rsid w:val="00761B85"/>
    <w:rsid w:val="007A0A86"/>
    <w:rsid w:val="007A219A"/>
    <w:rsid w:val="007B0D92"/>
    <w:rsid w:val="007B1F3C"/>
    <w:rsid w:val="007C4FA2"/>
    <w:rsid w:val="007C5F7C"/>
    <w:rsid w:val="007D444F"/>
    <w:rsid w:val="007D6469"/>
    <w:rsid w:val="007D6489"/>
    <w:rsid w:val="007F27FB"/>
    <w:rsid w:val="007F7CFE"/>
    <w:rsid w:val="008141DC"/>
    <w:rsid w:val="00832DF1"/>
    <w:rsid w:val="00835BBD"/>
    <w:rsid w:val="00836C53"/>
    <w:rsid w:val="00847921"/>
    <w:rsid w:val="008561D2"/>
    <w:rsid w:val="008570FD"/>
    <w:rsid w:val="00861BDB"/>
    <w:rsid w:val="008649AD"/>
    <w:rsid w:val="0086559F"/>
    <w:rsid w:val="00897E40"/>
    <w:rsid w:val="008A0610"/>
    <w:rsid w:val="008A48FE"/>
    <w:rsid w:val="008B25A0"/>
    <w:rsid w:val="008B409A"/>
    <w:rsid w:val="008B64A2"/>
    <w:rsid w:val="008C7A5D"/>
    <w:rsid w:val="008D22DA"/>
    <w:rsid w:val="008E0831"/>
    <w:rsid w:val="008F0B99"/>
    <w:rsid w:val="008F47D8"/>
    <w:rsid w:val="008F7F02"/>
    <w:rsid w:val="00901B14"/>
    <w:rsid w:val="00903500"/>
    <w:rsid w:val="009048FF"/>
    <w:rsid w:val="00920599"/>
    <w:rsid w:val="0092174E"/>
    <w:rsid w:val="00921750"/>
    <w:rsid w:val="00935C6F"/>
    <w:rsid w:val="009449BA"/>
    <w:rsid w:val="00944B76"/>
    <w:rsid w:val="00945345"/>
    <w:rsid w:val="00955E31"/>
    <w:rsid w:val="00956350"/>
    <w:rsid w:val="0096623E"/>
    <w:rsid w:val="00971DE1"/>
    <w:rsid w:val="0097298B"/>
    <w:rsid w:val="009859B8"/>
    <w:rsid w:val="0099091B"/>
    <w:rsid w:val="009D4D63"/>
    <w:rsid w:val="009E1A81"/>
    <w:rsid w:val="009E7421"/>
    <w:rsid w:val="009F2E0D"/>
    <w:rsid w:val="009F3DC0"/>
    <w:rsid w:val="00A02924"/>
    <w:rsid w:val="00A03034"/>
    <w:rsid w:val="00A07662"/>
    <w:rsid w:val="00A113C1"/>
    <w:rsid w:val="00A12D2A"/>
    <w:rsid w:val="00A23412"/>
    <w:rsid w:val="00A24215"/>
    <w:rsid w:val="00A32E6B"/>
    <w:rsid w:val="00A355EE"/>
    <w:rsid w:val="00A439D4"/>
    <w:rsid w:val="00A57572"/>
    <w:rsid w:val="00A57F49"/>
    <w:rsid w:val="00A72CC7"/>
    <w:rsid w:val="00A74B9A"/>
    <w:rsid w:val="00A877CC"/>
    <w:rsid w:val="00A93188"/>
    <w:rsid w:val="00A97AEB"/>
    <w:rsid w:val="00AC3B90"/>
    <w:rsid w:val="00AD7892"/>
    <w:rsid w:val="00AF59AF"/>
    <w:rsid w:val="00AF62B2"/>
    <w:rsid w:val="00AF6CC3"/>
    <w:rsid w:val="00AF77B2"/>
    <w:rsid w:val="00B05194"/>
    <w:rsid w:val="00B25FA5"/>
    <w:rsid w:val="00B45D64"/>
    <w:rsid w:val="00B53D66"/>
    <w:rsid w:val="00B57FD7"/>
    <w:rsid w:val="00B76097"/>
    <w:rsid w:val="00B76EB1"/>
    <w:rsid w:val="00B92668"/>
    <w:rsid w:val="00BA05B8"/>
    <w:rsid w:val="00BA48E8"/>
    <w:rsid w:val="00BB5291"/>
    <w:rsid w:val="00BB55BB"/>
    <w:rsid w:val="00BB5965"/>
    <w:rsid w:val="00BE2F0C"/>
    <w:rsid w:val="00BF0571"/>
    <w:rsid w:val="00BF4E64"/>
    <w:rsid w:val="00C02B2B"/>
    <w:rsid w:val="00C04451"/>
    <w:rsid w:val="00C149F4"/>
    <w:rsid w:val="00C227C4"/>
    <w:rsid w:val="00C30E20"/>
    <w:rsid w:val="00C427C6"/>
    <w:rsid w:val="00C429F4"/>
    <w:rsid w:val="00C43F1E"/>
    <w:rsid w:val="00C44D26"/>
    <w:rsid w:val="00C911C9"/>
    <w:rsid w:val="00C91A25"/>
    <w:rsid w:val="00C95200"/>
    <w:rsid w:val="00C97723"/>
    <w:rsid w:val="00CA2E84"/>
    <w:rsid w:val="00CA5EA0"/>
    <w:rsid w:val="00CB35EA"/>
    <w:rsid w:val="00CC357E"/>
    <w:rsid w:val="00CD0E12"/>
    <w:rsid w:val="00CD1128"/>
    <w:rsid w:val="00CE21EB"/>
    <w:rsid w:val="00CE7D89"/>
    <w:rsid w:val="00D0184C"/>
    <w:rsid w:val="00D11BDB"/>
    <w:rsid w:val="00D155C5"/>
    <w:rsid w:val="00D20A5C"/>
    <w:rsid w:val="00D21113"/>
    <w:rsid w:val="00D23005"/>
    <w:rsid w:val="00D31D56"/>
    <w:rsid w:val="00D326E2"/>
    <w:rsid w:val="00D45625"/>
    <w:rsid w:val="00D46DAA"/>
    <w:rsid w:val="00D5381A"/>
    <w:rsid w:val="00D660F1"/>
    <w:rsid w:val="00D73738"/>
    <w:rsid w:val="00D74682"/>
    <w:rsid w:val="00D80854"/>
    <w:rsid w:val="00D816FC"/>
    <w:rsid w:val="00D87F79"/>
    <w:rsid w:val="00D921C7"/>
    <w:rsid w:val="00DA2205"/>
    <w:rsid w:val="00DB17E7"/>
    <w:rsid w:val="00DB1BEF"/>
    <w:rsid w:val="00DB3F2F"/>
    <w:rsid w:val="00DC0672"/>
    <w:rsid w:val="00DC0BFB"/>
    <w:rsid w:val="00DC0D58"/>
    <w:rsid w:val="00DC6070"/>
    <w:rsid w:val="00DE1EF1"/>
    <w:rsid w:val="00DE1FBA"/>
    <w:rsid w:val="00DE217C"/>
    <w:rsid w:val="00DF67F5"/>
    <w:rsid w:val="00E316BE"/>
    <w:rsid w:val="00E33A59"/>
    <w:rsid w:val="00E33A7A"/>
    <w:rsid w:val="00E377B9"/>
    <w:rsid w:val="00E4064E"/>
    <w:rsid w:val="00E41ABC"/>
    <w:rsid w:val="00E42B3A"/>
    <w:rsid w:val="00E43A13"/>
    <w:rsid w:val="00E444FE"/>
    <w:rsid w:val="00E462AF"/>
    <w:rsid w:val="00E46CA2"/>
    <w:rsid w:val="00E52307"/>
    <w:rsid w:val="00E66963"/>
    <w:rsid w:val="00E837C9"/>
    <w:rsid w:val="00E843F1"/>
    <w:rsid w:val="00E852A5"/>
    <w:rsid w:val="00E90985"/>
    <w:rsid w:val="00E942AB"/>
    <w:rsid w:val="00E95289"/>
    <w:rsid w:val="00E97104"/>
    <w:rsid w:val="00EA2142"/>
    <w:rsid w:val="00EA5146"/>
    <w:rsid w:val="00EB0B55"/>
    <w:rsid w:val="00EB37B5"/>
    <w:rsid w:val="00EB7484"/>
    <w:rsid w:val="00EC4EE8"/>
    <w:rsid w:val="00ED0FFD"/>
    <w:rsid w:val="00EE233A"/>
    <w:rsid w:val="00EF02C7"/>
    <w:rsid w:val="00EF5404"/>
    <w:rsid w:val="00F001C7"/>
    <w:rsid w:val="00F25A3C"/>
    <w:rsid w:val="00F31114"/>
    <w:rsid w:val="00F345DA"/>
    <w:rsid w:val="00F53094"/>
    <w:rsid w:val="00F54CF5"/>
    <w:rsid w:val="00F605D3"/>
    <w:rsid w:val="00F67F38"/>
    <w:rsid w:val="00F715D1"/>
    <w:rsid w:val="00F72DD9"/>
    <w:rsid w:val="00F73828"/>
    <w:rsid w:val="00F85A8F"/>
    <w:rsid w:val="00F91747"/>
    <w:rsid w:val="00FA1270"/>
    <w:rsid w:val="00FA234B"/>
    <w:rsid w:val="00FA4BCA"/>
    <w:rsid w:val="00FB581B"/>
    <w:rsid w:val="00FC066A"/>
    <w:rsid w:val="00FC32C3"/>
    <w:rsid w:val="00FC4422"/>
    <w:rsid w:val="00FD31BE"/>
    <w:rsid w:val="00FD6136"/>
    <w:rsid w:val="00FD6CF7"/>
    <w:rsid w:val="00FE05BC"/>
    <w:rsid w:val="00FE7727"/>
    <w:rsid w:val="00FE7A37"/>
    <w:rsid w:val="00FF5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F3E"/>
    <w:rPr>
      <w:sz w:val="22"/>
      <w:szCs w:val="22"/>
      <w:lang w:eastAsia="en-US"/>
    </w:rPr>
  </w:style>
  <w:style w:type="paragraph" w:styleId="Ttulo2">
    <w:name w:val="heading 2"/>
    <w:basedOn w:val="Normal"/>
    <w:link w:val="Ttulo2Char"/>
    <w:uiPriority w:val="9"/>
    <w:qFormat/>
    <w:rsid w:val="00AC3B90"/>
    <w:pPr>
      <w:spacing w:before="100" w:beforeAutospacing="1" w:after="100" w:afterAutospacing="1"/>
      <w:outlineLvl w:val="1"/>
    </w:pPr>
    <w:rPr>
      <w:rFonts w:ascii="Helvetica" w:eastAsia="Times New Roman" w:hAnsi="Helvetica" w:cs="Helvetica"/>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02924"/>
    <w:pPr>
      <w:tabs>
        <w:tab w:val="center" w:pos="4252"/>
        <w:tab w:val="right" w:pos="8504"/>
      </w:tabs>
    </w:pPr>
  </w:style>
  <w:style w:type="character" w:customStyle="1" w:styleId="CabealhoChar">
    <w:name w:val="Cabeçalho Char"/>
    <w:basedOn w:val="Fontepargpadro"/>
    <w:link w:val="Cabealho"/>
    <w:uiPriority w:val="99"/>
    <w:rsid w:val="00A02924"/>
  </w:style>
  <w:style w:type="paragraph" w:styleId="Rodap">
    <w:name w:val="footer"/>
    <w:basedOn w:val="Normal"/>
    <w:link w:val="RodapChar"/>
    <w:uiPriority w:val="99"/>
    <w:unhideWhenUsed/>
    <w:rsid w:val="00A02924"/>
    <w:pPr>
      <w:tabs>
        <w:tab w:val="center" w:pos="4252"/>
        <w:tab w:val="right" w:pos="8504"/>
      </w:tabs>
    </w:pPr>
  </w:style>
  <w:style w:type="character" w:customStyle="1" w:styleId="RodapChar">
    <w:name w:val="Rodapé Char"/>
    <w:basedOn w:val="Fontepargpadro"/>
    <w:link w:val="Rodap"/>
    <w:uiPriority w:val="99"/>
    <w:rsid w:val="00A02924"/>
  </w:style>
  <w:style w:type="paragraph" w:styleId="Textodebalo">
    <w:name w:val="Balloon Text"/>
    <w:basedOn w:val="Normal"/>
    <w:link w:val="TextodebaloChar"/>
    <w:uiPriority w:val="99"/>
    <w:semiHidden/>
    <w:unhideWhenUsed/>
    <w:rsid w:val="00A02924"/>
    <w:rPr>
      <w:rFonts w:ascii="Tahoma" w:hAnsi="Tahoma" w:cs="Tahoma"/>
      <w:sz w:val="16"/>
      <w:szCs w:val="16"/>
    </w:rPr>
  </w:style>
  <w:style w:type="character" w:customStyle="1" w:styleId="TextodebaloChar">
    <w:name w:val="Texto de balão Char"/>
    <w:link w:val="Textodebalo"/>
    <w:uiPriority w:val="99"/>
    <w:semiHidden/>
    <w:rsid w:val="00A02924"/>
    <w:rPr>
      <w:rFonts w:ascii="Tahoma" w:hAnsi="Tahoma" w:cs="Tahoma"/>
      <w:sz w:val="16"/>
      <w:szCs w:val="16"/>
    </w:rPr>
  </w:style>
  <w:style w:type="paragraph" w:styleId="PargrafodaLista">
    <w:name w:val="List Paragraph"/>
    <w:basedOn w:val="Normal"/>
    <w:uiPriority w:val="34"/>
    <w:qFormat/>
    <w:rsid w:val="00C95200"/>
    <w:pPr>
      <w:spacing w:after="160" w:line="259" w:lineRule="auto"/>
      <w:ind w:left="720"/>
      <w:contextualSpacing/>
    </w:pPr>
  </w:style>
  <w:style w:type="table" w:styleId="Tabelacomgrade">
    <w:name w:val="Table Grid"/>
    <w:basedOn w:val="Tabelanormal"/>
    <w:uiPriority w:val="39"/>
    <w:rsid w:val="00C952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C95200"/>
    <w:rPr>
      <w:sz w:val="16"/>
      <w:szCs w:val="16"/>
    </w:rPr>
  </w:style>
  <w:style w:type="paragraph" w:styleId="Textodecomentrio">
    <w:name w:val="annotation text"/>
    <w:basedOn w:val="Normal"/>
    <w:link w:val="TextodecomentrioChar"/>
    <w:uiPriority w:val="99"/>
    <w:semiHidden/>
    <w:unhideWhenUsed/>
    <w:rsid w:val="00C95200"/>
    <w:pPr>
      <w:spacing w:after="160"/>
    </w:pPr>
    <w:rPr>
      <w:sz w:val="20"/>
      <w:szCs w:val="20"/>
    </w:rPr>
  </w:style>
  <w:style w:type="character" w:customStyle="1" w:styleId="TextodecomentrioChar">
    <w:name w:val="Texto de comentário Char"/>
    <w:link w:val="Textodecomentrio"/>
    <w:uiPriority w:val="99"/>
    <w:semiHidden/>
    <w:rsid w:val="00C95200"/>
    <w:rPr>
      <w:lang w:eastAsia="en-US"/>
    </w:rPr>
  </w:style>
  <w:style w:type="paragraph" w:styleId="Legenda">
    <w:name w:val="caption"/>
    <w:basedOn w:val="Normal"/>
    <w:next w:val="Normal"/>
    <w:uiPriority w:val="35"/>
    <w:unhideWhenUsed/>
    <w:qFormat/>
    <w:rsid w:val="00C95200"/>
    <w:rPr>
      <w:i/>
      <w:iCs/>
      <w:color w:val="44546A"/>
      <w:sz w:val="18"/>
      <w:szCs w:val="18"/>
    </w:rPr>
  </w:style>
  <w:style w:type="paragraph" w:styleId="Assuntodocomentrio">
    <w:name w:val="annotation subject"/>
    <w:basedOn w:val="Textodecomentrio"/>
    <w:next w:val="Textodecomentrio"/>
    <w:link w:val="AssuntodocomentrioChar"/>
    <w:uiPriority w:val="99"/>
    <w:semiHidden/>
    <w:unhideWhenUsed/>
    <w:rsid w:val="00CB35EA"/>
    <w:pPr>
      <w:spacing w:after="200" w:line="276" w:lineRule="auto"/>
    </w:pPr>
    <w:rPr>
      <w:b/>
      <w:bCs/>
    </w:rPr>
  </w:style>
  <w:style w:type="character" w:customStyle="1" w:styleId="AssuntodocomentrioChar">
    <w:name w:val="Assunto do comentário Char"/>
    <w:link w:val="Assuntodocomentrio"/>
    <w:uiPriority w:val="99"/>
    <w:semiHidden/>
    <w:rsid w:val="00CB35EA"/>
    <w:rPr>
      <w:b/>
      <w:bCs/>
      <w:lang w:eastAsia="en-US"/>
    </w:rPr>
  </w:style>
  <w:style w:type="paragraph" w:styleId="Reviso">
    <w:name w:val="Revision"/>
    <w:hidden/>
    <w:uiPriority w:val="99"/>
    <w:semiHidden/>
    <w:rsid w:val="00CB35EA"/>
    <w:rPr>
      <w:sz w:val="22"/>
      <w:szCs w:val="22"/>
      <w:lang w:eastAsia="en-US"/>
    </w:rPr>
  </w:style>
  <w:style w:type="character" w:customStyle="1" w:styleId="Ttulo2Char">
    <w:name w:val="Título 2 Char"/>
    <w:link w:val="Ttulo2"/>
    <w:uiPriority w:val="9"/>
    <w:rsid w:val="00AC3B90"/>
    <w:rPr>
      <w:rFonts w:ascii="Helvetica" w:eastAsia="Times New Roman" w:hAnsi="Helvetica" w:cs="Helvetica"/>
      <w:b/>
      <w:bCs/>
      <w:sz w:val="24"/>
      <w:szCs w:val="24"/>
    </w:rPr>
  </w:style>
  <w:style w:type="paragraph" w:styleId="NormalWeb">
    <w:name w:val="Normal (Web)"/>
    <w:basedOn w:val="Normal"/>
    <w:uiPriority w:val="99"/>
    <w:semiHidden/>
    <w:unhideWhenUsed/>
    <w:rsid w:val="00AC3B90"/>
    <w:pPr>
      <w:spacing w:before="100" w:beforeAutospacing="1" w:after="100" w:afterAutospacing="1"/>
    </w:pPr>
    <w:rPr>
      <w:rFonts w:ascii="Times New Roman" w:eastAsia="Times New Roman" w:hAnsi="Times New Roman"/>
      <w:sz w:val="24"/>
      <w:szCs w:val="24"/>
      <w:lang w:eastAsia="pt-BR"/>
    </w:rPr>
  </w:style>
  <w:style w:type="character" w:styleId="Hyperlink">
    <w:name w:val="Hyperlink"/>
    <w:uiPriority w:val="99"/>
    <w:unhideWhenUsed/>
    <w:rsid w:val="00AC3B90"/>
    <w:rPr>
      <w:color w:val="0000FF"/>
      <w:u w:val="single"/>
    </w:rPr>
  </w:style>
  <w:style w:type="paragraph" w:styleId="SemEspaamento">
    <w:name w:val="No Spacing"/>
    <w:uiPriority w:val="1"/>
    <w:qFormat/>
    <w:rsid w:val="00D2111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83398">
      <w:bodyDiv w:val="1"/>
      <w:marLeft w:val="0"/>
      <w:marRight w:val="0"/>
      <w:marTop w:val="0"/>
      <w:marBottom w:val="0"/>
      <w:divBdr>
        <w:top w:val="none" w:sz="0" w:space="0" w:color="auto"/>
        <w:left w:val="none" w:sz="0" w:space="0" w:color="auto"/>
        <w:bottom w:val="none" w:sz="0" w:space="0" w:color="auto"/>
        <w:right w:val="none" w:sz="0" w:space="0" w:color="auto"/>
      </w:divBdr>
    </w:div>
    <w:div w:id="21117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bvmf.bmfbovespa.com.br/cias-listadas/empresas-listadas/ResumoEmpresaPrincipal.aspx?codigoCvm=21040" TargetMode="External"/><Relationship Id="rId18" Type="http://schemas.openxmlformats.org/officeDocument/2006/relationships/hyperlink" Target="http://bvmf.bmfbovespa.com.br/cias-listadas/empresas-listadas/ResumoEmpresaPrincipal.aspx?codigoCvm=1378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bvmf.bmfbovespa.com.br/cias-listadas/empresas-listadas/ResumoEmpresaPrincipal.aspx?codigoCvm=22357" TargetMode="External"/><Relationship Id="rId7" Type="http://schemas.openxmlformats.org/officeDocument/2006/relationships/endnotes" Target="endnotes.xml"/><Relationship Id="rId12" Type="http://schemas.openxmlformats.org/officeDocument/2006/relationships/hyperlink" Target="http://bvmf.bmfbovespa.com.br/cias-listadas/empresas-listadas/ResumoEmpresaPrincipal.aspx?codigoCvm=20036" TargetMode="External"/><Relationship Id="rId17" Type="http://schemas.openxmlformats.org/officeDocument/2006/relationships/hyperlink" Target="http://bvmf.bmfbovespa.com.br/cias-listadas/empresas-listadas/ResumoEmpresaPrincipal.aspx?codigoCvm=2098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bvmf.bmfbovespa.com.br/cias-listadas/empresas-listadas/ResumoEmpresaPrincipal.aspx?codigoCvm=20982" TargetMode="External"/><Relationship Id="rId20" Type="http://schemas.openxmlformats.org/officeDocument/2006/relationships/hyperlink" Target="http://bvmf.bmfbovespa.com.br/cias-listadas/empresas-listadas/ResumoEmpresaPrincipal.aspx?codigoCvm=2235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vmf.bmfbovespa.com.br/cias-listadas/empresas-listadas/ResumoEmpresaPrincipal.aspx?codigoCvm=1992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bvmf.bmfbovespa.com.br/cias-listadas/empresas-listadas/ResumoEmpresaPrincipal.aspx?codigoCvm=20494" TargetMode="External"/><Relationship Id="rId23" Type="http://schemas.openxmlformats.org/officeDocument/2006/relationships/hyperlink" Target="http://www.planalto.gov.br/ccivil_03/_ato2007-2010/2007/lei/l11638.htm" TargetMode="External"/><Relationship Id="rId28" Type="http://schemas.openxmlformats.org/officeDocument/2006/relationships/header" Target="header3.xml"/><Relationship Id="rId10" Type="http://schemas.openxmlformats.org/officeDocument/2006/relationships/hyperlink" Target="http://bvmf.bmfbovespa.com.br/cias-listadas/empresas-listadas/ResumoEmpresaPrincipal.aspx?codigoCvm=19909" TargetMode="External"/><Relationship Id="rId19" Type="http://schemas.openxmlformats.org/officeDocument/2006/relationships/hyperlink" Target="http://bvmf.bmfbovespa.com.br/cias-listadas/empresas-listadas/ResumoEmpresaPrincipal.aspx?codigoCvm=1378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bvmf.bmfbovespa.com.br/cias-listadas/empresas-listadas/ResumoEmpresaPrincipal.aspx?codigoCvm=21008" TargetMode="External"/><Relationship Id="rId22" Type="http://schemas.openxmlformats.org/officeDocument/2006/relationships/hyperlink" Target="http://static.cpc.mediagroup.com.br/Documentos/320_CPC_28_rev%2008.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9961B-8B5D-4016-9AE1-D3A82884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5167</Words>
  <Characters>27908</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33009</CharactersWithSpaces>
  <SharedDoc>false</SharedDoc>
  <HLinks>
    <vt:vector size="84" baseType="variant">
      <vt:variant>
        <vt:i4>6553720</vt:i4>
      </vt:variant>
      <vt:variant>
        <vt:i4>42</vt:i4>
      </vt:variant>
      <vt:variant>
        <vt:i4>0</vt:i4>
      </vt:variant>
      <vt:variant>
        <vt:i4>5</vt:i4>
      </vt:variant>
      <vt:variant>
        <vt:lpwstr>http://www.planalto.gov.br/ccivil_03/_ato2007-2010/2007/lei/l11638.htm</vt:lpwstr>
      </vt:variant>
      <vt:variant>
        <vt:lpwstr/>
      </vt:variant>
      <vt:variant>
        <vt:i4>6946904</vt:i4>
      </vt:variant>
      <vt:variant>
        <vt:i4>39</vt:i4>
      </vt:variant>
      <vt:variant>
        <vt:i4>0</vt:i4>
      </vt:variant>
      <vt:variant>
        <vt:i4>5</vt:i4>
      </vt:variant>
      <vt:variant>
        <vt:lpwstr>http://static.cpc.mediagroup.com.br/Documentos/320_CPC_28_rev 08.pdf</vt:lpwstr>
      </vt:variant>
      <vt:variant>
        <vt:lpwstr/>
      </vt:variant>
      <vt:variant>
        <vt:i4>5832778</vt:i4>
      </vt:variant>
      <vt:variant>
        <vt:i4>36</vt:i4>
      </vt:variant>
      <vt:variant>
        <vt:i4>0</vt:i4>
      </vt:variant>
      <vt:variant>
        <vt:i4>5</vt:i4>
      </vt:variant>
      <vt:variant>
        <vt:lpwstr>http://bvmf.bmfbovespa.com.br/cias-listadas/empresas-listadas/ResumoEmpresaPrincipal.aspx?codigoCvm=22357</vt:lpwstr>
      </vt:variant>
      <vt:variant>
        <vt:lpwstr/>
      </vt:variant>
      <vt:variant>
        <vt:i4>5832778</vt:i4>
      </vt:variant>
      <vt:variant>
        <vt:i4>33</vt:i4>
      </vt:variant>
      <vt:variant>
        <vt:i4>0</vt:i4>
      </vt:variant>
      <vt:variant>
        <vt:i4>5</vt:i4>
      </vt:variant>
      <vt:variant>
        <vt:lpwstr>http://bvmf.bmfbovespa.com.br/cias-listadas/empresas-listadas/ResumoEmpresaPrincipal.aspx?codigoCvm=22357</vt:lpwstr>
      </vt:variant>
      <vt:variant>
        <vt:lpwstr/>
      </vt:variant>
      <vt:variant>
        <vt:i4>5570637</vt:i4>
      </vt:variant>
      <vt:variant>
        <vt:i4>30</vt:i4>
      </vt:variant>
      <vt:variant>
        <vt:i4>0</vt:i4>
      </vt:variant>
      <vt:variant>
        <vt:i4>5</vt:i4>
      </vt:variant>
      <vt:variant>
        <vt:lpwstr>http://bvmf.bmfbovespa.com.br/cias-listadas/empresas-listadas/ResumoEmpresaPrincipal.aspx?codigoCvm=13781</vt:lpwstr>
      </vt:variant>
      <vt:variant>
        <vt:lpwstr/>
      </vt:variant>
      <vt:variant>
        <vt:i4>5570637</vt:i4>
      </vt:variant>
      <vt:variant>
        <vt:i4>27</vt:i4>
      </vt:variant>
      <vt:variant>
        <vt:i4>0</vt:i4>
      </vt:variant>
      <vt:variant>
        <vt:i4>5</vt:i4>
      </vt:variant>
      <vt:variant>
        <vt:lpwstr>http://bvmf.bmfbovespa.com.br/cias-listadas/empresas-listadas/ResumoEmpresaPrincipal.aspx?codigoCvm=13781</vt:lpwstr>
      </vt:variant>
      <vt:variant>
        <vt:lpwstr/>
      </vt:variant>
      <vt:variant>
        <vt:i4>5636160</vt:i4>
      </vt:variant>
      <vt:variant>
        <vt:i4>24</vt:i4>
      </vt:variant>
      <vt:variant>
        <vt:i4>0</vt:i4>
      </vt:variant>
      <vt:variant>
        <vt:i4>5</vt:i4>
      </vt:variant>
      <vt:variant>
        <vt:lpwstr>http://bvmf.bmfbovespa.com.br/cias-listadas/empresas-listadas/ResumoEmpresaPrincipal.aspx?codigoCvm=20982</vt:lpwstr>
      </vt:variant>
      <vt:variant>
        <vt:lpwstr/>
      </vt:variant>
      <vt:variant>
        <vt:i4>5636160</vt:i4>
      </vt:variant>
      <vt:variant>
        <vt:i4>21</vt:i4>
      </vt:variant>
      <vt:variant>
        <vt:i4>0</vt:i4>
      </vt:variant>
      <vt:variant>
        <vt:i4>5</vt:i4>
      </vt:variant>
      <vt:variant>
        <vt:lpwstr>http://bvmf.bmfbovespa.com.br/cias-listadas/empresas-listadas/ResumoEmpresaPrincipal.aspx?codigoCvm=20982</vt:lpwstr>
      </vt:variant>
      <vt:variant>
        <vt:lpwstr/>
      </vt:variant>
      <vt:variant>
        <vt:i4>5701709</vt:i4>
      </vt:variant>
      <vt:variant>
        <vt:i4>18</vt:i4>
      </vt:variant>
      <vt:variant>
        <vt:i4>0</vt:i4>
      </vt:variant>
      <vt:variant>
        <vt:i4>5</vt:i4>
      </vt:variant>
      <vt:variant>
        <vt:lpwstr>http://bvmf.bmfbovespa.com.br/cias-listadas/empresas-listadas/ResumoEmpresaPrincipal.aspx?codigoCvm=20494</vt:lpwstr>
      </vt:variant>
      <vt:variant>
        <vt:lpwstr/>
      </vt:variant>
      <vt:variant>
        <vt:i4>6225993</vt:i4>
      </vt:variant>
      <vt:variant>
        <vt:i4>15</vt:i4>
      </vt:variant>
      <vt:variant>
        <vt:i4>0</vt:i4>
      </vt:variant>
      <vt:variant>
        <vt:i4>5</vt:i4>
      </vt:variant>
      <vt:variant>
        <vt:lpwstr>http://bvmf.bmfbovespa.com.br/cias-listadas/empresas-listadas/ResumoEmpresaPrincipal.aspx?codigoCvm=21008</vt:lpwstr>
      </vt:variant>
      <vt:variant>
        <vt:lpwstr/>
      </vt:variant>
      <vt:variant>
        <vt:i4>5963849</vt:i4>
      </vt:variant>
      <vt:variant>
        <vt:i4>12</vt:i4>
      </vt:variant>
      <vt:variant>
        <vt:i4>0</vt:i4>
      </vt:variant>
      <vt:variant>
        <vt:i4>5</vt:i4>
      </vt:variant>
      <vt:variant>
        <vt:lpwstr>http://bvmf.bmfbovespa.com.br/cias-listadas/empresas-listadas/ResumoEmpresaPrincipal.aspx?codigoCvm=21040</vt:lpwstr>
      </vt:variant>
      <vt:variant>
        <vt:lpwstr/>
      </vt:variant>
      <vt:variant>
        <vt:i4>6094921</vt:i4>
      </vt:variant>
      <vt:variant>
        <vt:i4>9</vt:i4>
      </vt:variant>
      <vt:variant>
        <vt:i4>0</vt:i4>
      </vt:variant>
      <vt:variant>
        <vt:i4>5</vt:i4>
      </vt:variant>
      <vt:variant>
        <vt:lpwstr>http://bvmf.bmfbovespa.com.br/cias-listadas/empresas-listadas/ResumoEmpresaPrincipal.aspx?codigoCvm=20036</vt:lpwstr>
      </vt:variant>
      <vt:variant>
        <vt:lpwstr/>
      </vt:variant>
      <vt:variant>
        <vt:i4>5570627</vt:i4>
      </vt:variant>
      <vt:variant>
        <vt:i4>6</vt:i4>
      </vt:variant>
      <vt:variant>
        <vt:i4>0</vt:i4>
      </vt:variant>
      <vt:variant>
        <vt:i4>5</vt:i4>
      </vt:variant>
      <vt:variant>
        <vt:lpwstr>http://bvmf.bmfbovespa.com.br/cias-listadas/empresas-listadas/ResumoEmpresaPrincipal.aspx?codigoCvm=19925</vt:lpwstr>
      </vt:variant>
      <vt:variant>
        <vt:lpwstr/>
      </vt:variant>
      <vt:variant>
        <vt:i4>5701699</vt:i4>
      </vt:variant>
      <vt:variant>
        <vt:i4>3</vt:i4>
      </vt:variant>
      <vt:variant>
        <vt:i4>0</vt:i4>
      </vt:variant>
      <vt:variant>
        <vt:i4>5</vt:i4>
      </vt:variant>
      <vt:variant>
        <vt:lpwstr>http://bvmf.bmfbovespa.com.br/cias-listadas/empresas-listadas/ResumoEmpresaPrincipal.aspx?codigoCvm=19909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2019-05-30T20:24:00Z</dcterms:created>
  <dcterms:modified xsi:type="dcterms:W3CDTF">2019-05-30T20:24:00Z</dcterms:modified>
</cp:coreProperties>
</file>