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82" w:rsidRPr="007F4606" w:rsidRDefault="00432782" w:rsidP="00432782">
      <w:pPr>
        <w:pStyle w:val="Legenda"/>
      </w:pPr>
      <w:r>
        <w:t xml:space="preserve">Quadro 5 - </w:t>
      </w:r>
      <w:r w:rsidRPr="007F4606">
        <w:t xml:space="preserve">Práticas de controladoria utilizadas </w:t>
      </w:r>
      <w:r>
        <w:t>pelas empresas de transportes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709"/>
        <w:gridCol w:w="709"/>
        <w:gridCol w:w="708"/>
        <w:gridCol w:w="709"/>
      </w:tblGrid>
      <w:tr w:rsidR="00432782" w:rsidTr="004F67EA">
        <w:trPr>
          <w:cantSplit/>
          <w:trHeight w:val="596"/>
        </w:trPr>
        <w:tc>
          <w:tcPr>
            <w:tcW w:w="4219" w:type="dxa"/>
            <w:vMerge w:val="restart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rFonts w:cs="Arial"/>
                <w:sz w:val="20"/>
              </w:rPr>
            </w:pPr>
          </w:p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rFonts w:cs="Arial"/>
                <w:sz w:val="20"/>
              </w:rPr>
            </w:pPr>
            <w:r w:rsidRPr="00405F3B">
              <w:rPr>
                <w:rFonts w:cs="Arial"/>
                <w:sz w:val="20"/>
              </w:rPr>
              <w:t>Pr</w:t>
            </w:r>
            <w:r>
              <w:rPr>
                <w:rFonts w:cs="Arial"/>
                <w:sz w:val="20"/>
              </w:rPr>
              <w:t>á</w:t>
            </w:r>
            <w:r w:rsidRPr="00405F3B">
              <w:rPr>
                <w:rFonts w:cs="Arial"/>
                <w:sz w:val="20"/>
              </w:rPr>
              <w:t>ticas de Controladoria</w:t>
            </w:r>
            <w:r>
              <w:rPr>
                <w:rFonts w:cs="Arial"/>
                <w:sz w:val="20"/>
              </w:rPr>
              <w:t xml:space="preserve"> validadas por especialistas</w:t>
            </w:r>
          </w:p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rFonts w:cs="Arial"/>
                <w:sz w:val="20"/>
              </w:rPr>
            </w:pPr>
          </w:p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rFonts w:cs="Arial"/>
                <w:sz w:val="20"/>
              </w:rPr>
            </w:pPr>
          </w:p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b/>
                <w:szCs w:val="24"/>
              </w:rPr>
            </w:pPr>
          </w:p>
        </w:tc>
        <w:tc>
          <w:tcPr>
            <w:tcW w:w="2835" w:type="dxa"/>
            <w:gridSpan w:val="4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405F3B">
              <w:rPr>
                <w:szCs w:val="24"/>
              </w:rPr>
              <w:t xml:space="preserve"> </w:t>
            </w:r>
            <w:r w:rsidRPr="005D6600">
              <w:rPr>
                <w:sz w:val="20"/>
              </w:rPr>
              <w:t>Práticas de Controladoria</w:t>
            </w:r>
          </w:p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Utilizadas pelas Empresas </w:t>
            </w:r>
          </w:p>
        </w:tc>
      </w:tr>
      <w:tr w:rsidR="00432782" w:rsidTr="004F67EA">
        <w:trPr>
          <w:cantSplit/>
          <w:trHeight w:val="1249"/>
        </w:trPr>
        <w:tc>
          <w:tcPr>
            <w:tcW w:w="4219" w:type="dxa"/>
            <w:vMerge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</w:p>
        </w:tc>
        <w:tc>
          <w:tcPr>
            <w:tcW w:w="709" w:type="dxa"/>
            <w:textDirection w:val="btLr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708" w:type="dxa"/>
            <w:textDirection w:val="btLr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</w:p>
        </w:tc>
        <w:tc>
          <w:tcPr>
            <w:tcW w:w="709" w:type="dxa"/>
            <w:textDirection w:val="btLr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  <w:szCs w:val="24"/>
              </w:rPr>
              <w:t>1-Análise da cadeia de valor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  <w:szCs w:val="24"/>
              </w:rPr>
              <w:t xml:space="preserve">2-Análise </w:t>
            </w:r>
            <w:proofErr w:type="spellStart"/>
            <w:r w:rsidRPr="00405F3B">
              <w:rPr>
                <w:sz w:val="20"/>
                <w:szCs w:val="24"/>
              </w:rPr>
              <w:t>Custo-Volume-Lucro</w:t>
            </w:r>
            <w:proofErr w:type="spellEnd"/>
            <w:r w:rsidRPr="00405F3B">
              <w:rPr>
                <w:sz w:val="20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  <w:szCs w:val="24"/>
              </w:rPr>
              <w:t xml:space="preserve">3-Análise da </w:t>
            </w:r>
            <w:proofErr w:type="spellStart"/>
            <w:r w:rsidRPr="00405F3B">
              <w:rPr>
                <w:sz w:val="20"/>
                <w:szCs w:val="24"/>
              </w:rPr>
              <w:t>Externalização</w:t>
            </w:r>
            <w:proofErr w:type="spellEnd"/>
            <w:r w:rsidRPr="00405F3B">
              <w:rPr>
                <w:sz w:val="20"/>
                <w:szCs w:val="24"/>
              </w:rPr>
              <w:t xml:space="preserve"> (</w:t>
            </w:r>
            <w:r w:rsidRPr="00A565E4">
              <w:rPr>
                <w:i/>
                <w:sz w:val="20"/>
                <w:szCs w:val="24"/>
              </w:rPr>
              <w:t>Outsourcing</w:t>
            </w:r>
            <w:r w:rsidRPr="00405F3B">
              <w:rPr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  <w:szCs w:val="24"/>
              </w:rPr>
              <w:t>4-Análise do Retorno do Investimento (ROI)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  <w:szCs w:val="24"/>
              </w:rPr>
              <w:t>5-Análise do Valor Presente Líquido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  <w:szCs w:val="24"/>
              </w:rPr>
              <w:t>6-Avaliação de Desempenho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  <w:szCs w:val="24"/>
              </w:rPr>
              <w:t>7-</w:t>
            </w:r>
            <w:proofErr w:type="spellStart"/>
            <w:r w:rsidRPr="00405F3B">
              <w:rPr>
                <w:sz w:val="20"/>
                <w:szCs w:val="24"/>
              </w:rPr>
              <w:t>Balanced</w:t>
            </w:r>
            <w:proofErr w:type="spellEnd"/>
            <w:r w:rsidRPr="00405F3B">
              <w:rPr>
                <w:sz w:val="20"/>
                <w:szCs w:val="24"/>
              </w:rPr>
              <w:t xml:space="preserve"> </w:t>
            </w:r>
            <w:proofErr w:type="spellStart"/>
            <w:r w:rsidRPr="00405F3B">
              <w:rPr>
                <w:sz w:val="20"/>
                <w:szCs w:val="24"/>
              </w:rPr>
              <w:t>Scorecard</w:t>
            </w:r>
            <w:proofErr w:type="spellEnd"/>
            <w:r w:rsidRPr="00405F3B">
              <w:rPr>
                <w:sz w:val="20"/>
                <w:szCs w:val="24"/>
              </w:rPr>
              <w:t xml:space="preserve"> (BSC)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8-Controle Interno na Proteção de Ativos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9-Custeio ABC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10-Custeio Direto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 xml:space="preserve">11-Custeio </w:t>
            </w:r>
            <w:proofErr w:type="spellStart"/>
            <w:r w:rsidRPr="00405F3B">
              <w:rPr>
                <w:sz w:val="20"/>
              </w:rPr>
              <w:t>Kaizen</w:t>
            </w:r>
            <w:proofErr w:type="spellEnd"/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12-Custeio Meta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13-Custeio Padrão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14-Custeio por Absorção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15-Custeio Variável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16-Gestão Baseada em Valor (VBM)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 xml:space="preserve">17-Gestão </w:t>
            </w:r>
            <w:proofErr w:type="spellStart"/>
            <w:r w:rsidRPr="00405F3B">
              <w:rPr>
                <w:sz w:val="20"/>
              </w:rPr>
              <w:t>Interorganizacional</w:t>
            </w:r>
            <w:proofErr w:type="spellEnd"/>
            <w:r w:rsidRPr="00405F3B">
              <w:rPr>
                <w:sz w:val="20"/>
              </w:rPr>
              <w:t xml:space="preserve"> de Custos (GIC)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18-Indicadores Chave de Desempenho (KPI)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  <w:lang w:val="en-US"/>
              </w:rPr>
              <w:t>19-</w:t>
            </w:r>
            <w:r w:rsidRPr="00A565E4">
              <w:rPr>
                <w:i/>
                <w:sz w:val="20"/>
                <w:lang w:val="en-US"/>
              </w:rPr>
              <w:t>Open Book Accounting</w:t>
            </w:r>
            <w:r w:rsidRPr="00405F3B">
              <w:rPr>
                <w:sz w:val="20"/>
                <w:lang w:val="en-US"/>
              </w:rPr>
              <w:t xml:space="preserve"> (OBA)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20-Orçamento de Capital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21-Orçamento Operacional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22-Planejamento Tributário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23-Preço de Transferência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24-Processo Orçamentário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5D6600">
              <w:rPr>
                <w:sz w:val="20"/>
              </w:rPr>
              <w:t>X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25-Sistema de Gestão Econômica (GECON)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26-Teoria das Restrições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32782" w:rsidTr="004F67EA">
        <w:tc>
          <w:tcPr>
            <w:tcW w:w="4219" w:type="dxa"/>
          </w:tcPr>
          <w:p w:rsidR="00432782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05F3B">
              <w:rPr>
                <w:sz w:val="20"/>
              </w:rPr>
              <w:t>27-Valor Econômico (EVA)</w:t>
            </w: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2782" w:rsidRPr="005D6600" w:rsidRDefault="00432782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:rsidR="00432782" w:rsidRPr="00A565E4" w:rsidRDefault="00432782" w:rsidP="00432782">
      <w:pPr>
        <w:spacing w:before="120"/>
        <w:ind w:firstLine="0"/>
        <w:rPr>
          <w:sz w:val="20"/>
        </w:rPr>
      </w:pPr>
      <w:r>
        <w:rPr>
          <w:sz w:val="20"/>
        </w:rPr>
        <w:br w:type="textWrapping" w:clear="all"/>
      </w:r>
      <w:r w:rsidRPr="00A565E4">
        <w:rPr>
          <w:sz w:val="20"/>
        </w:rPr>
        <w:t>Fonte: Elaborado pelo autor com base nos dados da pesquisa</w:t>
      </w:r>
    </w:p>
    <w:p w:rsidR="00190169" w:rsidRDefault="00190169"/>
    <w:sectPr w:rsidR="00190169" w:rsidSect="00190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432782"/>
    <w:rsid w:val="000A32EC"/>
    <w:rsid w:val="00190169"/>
    <w:rsid w:val="00432782"/>
    <w:rsid w:val="00517F30"/>
    <w:rsid w:val="00A84461"/>
    <w:rsid w:val="00AF2D65"/>
    <w:rsid w:val="00D943EA"/>
    <w:rsid w:val="00E815D6"/>
    <w:rsid w:val="00F2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8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432782"/>
    <w:pPr>
      <w:spacing w:after="120" w:line="240" w:lineRule="auto"/>
      <w:ind w:firstLine="0"/>
      <w:jc w:val="left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Adao</cp:lastModifiedBy>
  <cp:revision>2</cp:revision>
  <dcterms:created xsi:type="dcterms:W3CDTF">2015-05-08T12:03:00Z</dcterms:created>
  <dcterms:modified xsi:type="dcterms:W3CDTF">2015-05-08T12:05:00Z</dcterms:modified>
</cp:coreProperties>
</file>