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/>
      </w:tblPr>
      <w:tblGrid>
        <w:gridCol w:w="8612"/>
      </w:tblGrid>
      <w:tr w:rsidR="00CE2E65" w:rsidRPr="008E7732" w:rsidTr="00FB2AA7">
        <w:tc>
          <w:tcPr>
            <w:tcW w:w="92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E2E65" w:rsidRPr="008E7732" w:rsidRDefault="00CE2E65" w:rsidP="00FB2AA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</w:pPr>
            <w:r w:rsidRPr="008E7732">
              <w:rPr>
                <w:rFonts w:ascii="Times New Roman" w:hAnsi="Times New Roman" w:cs="Times New Roman"/>
                <w:color w:val="auto"/>
                <w:kern w:val="0"/>
                <w:sz w:val="20"/>
                <w:szCs w:val="24"/>
              </w:rPr>
              <w:t>a)</w:t>
            </w:r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 Foram extraídos os valores de mercado das empresas da amostra, no último dia útil de Abril do ano seguinte ao ano em análise, tomando-se por base o tipo de ação mais líquida no sistema </w:t>
            </w:r>
            <w:proofErr w:type="spellStart"/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>Economatica</w:t>
            </w:r>
            <w:proofErr w:type="spellEnd"/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, caso se constatasse mais de um tipo de ação. O valor extraído do sistema </w:t>
            </w:r>
            <w:proofErr w:type="spellStart"/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>Economatica</w:t>
            </w:r>
            <w:proofErr w:type="spellEnd"/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, está ajustado para proventos (dividendos, bonificações, etc.), para desdobramentos, e por inflação (em todos os valores atualizados pela inflação neste trabalho, utilizou-se o IPCA – Índice Nacional de Preços ao Consumidor Amplo, disponível no </w:t>
            </w:r>
            <w:proofErr w:type="spellStart"/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>Economatica</w:t>
            </w:r>
            <w:proofErr w:type="spellEnd"/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). Com base nesses critérios, se a empresa na amostra não possuísse valor definido na data consultada, foi adotado o critério (disponível no sistema </w:t>
            </w:r>
            <w:proofErr w:type="spellStart"/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>Economatica</w:t>
            </w:r>
            <w:proofErr w:type="spellEnd"/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>) de tolerância de até 30 dias anteriores à data estipulada, e se ainda assim não se verificasse valor retornado, a empresa seria excluída da amostra.</w:t>
            </w:r>
          </w:p>
          <w:p w:rsidR="00CE2E65" w:rsidRPr="008E7732" w:rsidRDefault="00CE2E65" w:rsidP="00FB2AA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</w:pPr>
            <w:r w:rsidRPr="008E7732">
              <w:rPr>
                <w:rFonts w:ascii="Times New Roman" w:hAnsi="Times New Roman" w:cs="Times New Roman"/>
                <w:color w:val="auto"/>
                <w:kern w:val="0"/>
                <w:sz w:val="20"/>
                <w:szCs w:val="24"/>
              </w:rPr>
              <w:t>b)</w:t>
            </w:r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 Todas as empresas-ano que possuem valor de mercado, conforme citado no parágrafo anterior, também devem possuir valor disponibilizado para Lucro Bruto, Lucro Líquido, Patrimônio Líquido, Receita Operacional Líquida e EBITDA, referente ao ano em análise (consolidado para o 4º trimestre fiscal). Também devem possuir informação para os indicadores </w:t>
            </w:r>
            <w:r w:rsidRPr="008E773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4"/>
              </w:rPr>
              <w:t>beta</w:t>
            </w:r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, </w:t>
            </w:r>
            <w:proofErr w:type="spellStart"/>
            <w:r w:rsidRPr="008E773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4"/>
              </w:rPr>
              <w:t>pay</w:t>
            </w:r>
            <w:proofErr w:type="spellEnd"/>
            <w:r w:rsidRPr="008E773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4"/>
              </w:rPr>
              <w:t xml:space="preserve"> out</w:t>
            </w:r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, </w:t>
            </w:r>
            <w:r w:rsidRPr="008E773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4"/>
              </w:rPr>
              <w:t>taxa de crescimento do lucro</w:t>
            </w:r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, e </w:t>
            </w:r>
            <w:r w:rsidRPr="008E773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4"/>
              </w:rPr>
              <w:t>liquidez</w:t>
            </w:r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 (todos estes indicadores são detalhados no tópico 3.4). Caso uma observação deixe de ter algumas das informações citadas, seria excluída da amostra.</w:t>
            </w:r>
          </w:p>
          <w:p w:rsidR="00CE2E65" w:rsidRPr="008E7732" w:rsidRDefault="00CE2E65" w:rsidP="00FB2AA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</w:pPr>
            <w:r w:rsidRPr="008E7732">
              <w:rPr>
                <w:rFonts w:ascii="Times New Roman" w:hAnsi="Times New Roman" w:cs="Times New Roman"/>
                <w:color w:val="auto"/>
                <w:kern w:val="0"/>
                <w:sz w:val="20"/>
                <w:szCs w:val="24"/>
              </w:rPr>
              <w:t>c)</w:t>
            </w:r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 Foram excluídas todas as empresas dos setores “Finanças e Seguros” e “Fundos”. Devido às características peculiares desses setores, que dão tratamento diverso a variáveis como Vendas, </w:t>
            </w:r>
            <w:proofErr w:type="spellStart"/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>Ebitda</w:t>
            </w:r>
            <w:proofErr w:type="spellEnd"/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>, etc., optou-se por não considerá-los nas análises, a fim de evitar distorções nas conclusões. O setor denominado “Outros” também foi desconsiderado da análise.</w:t>
            </w:r>
          </w:p>
          <w:p w:rsidR="00CE2E65" w:rsidRPr="008E7732" w:rsidRDefault="00CE2E65" w:rsidP="00FB2AA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</w:pPr>
            <w:r w:rsidRPr="008E7732">
              <w:rPr>
                <w:rFonts w:ascii="Times New Roman" w:hAnsi="Times New Roman" w:cs="Times New Roman"/>
                <w:color w:val="auto"/>
                <w:kern w:val="0"/>
                <w:sz w:val="20"/>
                <w:szCs w:val="24"/>
              </w:rPr>
              <w:t>d)</w:t>
            </w:r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 Todos os múltiplos devem ser positivos. Essa definição foi necessária para não se trabalhar com previsões de preços com valores negativos. </w:t>
            </w:r>
          </w:p>
          <w:p w:rsidR="00CE2E65" w:rsidRPr="008E7732" w:rsidRDefault="00CE2E65" w:rsidP="00FB2AA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</w:pPr>
            <w:r w:rsidRPr="008E7732">
              <w:rPr>
                <w:rFonts w:ascii="Times New Roman" w:hAnsi="Times New Roman" w:cs="Times New Roman"/>
                <w:color w:val="auto"/>
                <w:kern w:val="0"/>
                <w:sz w:val="20"/>
                <w:szCs w:val="24"/>
              </w:rPr>
              <w:t>e)</w:t>
            </w:r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 Cada combinação “setor-ano” deve ter, no mínimo, 3 observações. Foi conduzida análise para se verificar a possibilidade de aumentar esse número de empresas por setor, mas constatou-se que o aumento iria representar a perda de inúmeras observações em setores com quantidade insuficiente de empresas. Resolveu-se assim privilegiar a amostra em relação à quantidade de empresas comparáveis por setor. </w:t>
            </w:r>
          </w:p>
          <w:p w:rsidR="00CE2E65" w:rsidRPr="008E7732" w:rsidRDefault="00CE2E65" w:rsidP="00FB2AA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</w:pPr>
            <w:r w:rsidRPr="008E7732">
              <w:rPr>
                <w:rFonts w:ascii="Times New Roman" w:hAnsi="Times New Roman" w:cs="Times New Roman"/>
                <w:color w:val="auto"/>
                <w:kern w:val="0"/>
                <w:sz w:val="20"/>
                <w:szCs w:val="24"/>
              </w:rPr>
              <w:t>f)</w:t>
            </w:r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 Foram excluídos da base de dados 134 empresas-ano denominadas pela ferramenta </w:t>
            </w:r>
            <w:r w:rsidRPr="008E773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4"/>
              </w:rPr>
              <w:t xml:space="preserve">Cluster </w:t>
            </w:r>
            <w:proofErr w:type="spellStart"/>
            <w:r w:rsidRPr="008E773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4"/>
              </w:rPr>
              <w:t>Analysis</w:t>
            </w:r>
            <w:proofErr w:type="spellEnd"/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 xml:space="preserve"> como “grupo de entropia”, que consiste em observações que apresentaram valores atípicos para as variáveis de similaridade, tendendo a formarem clusters unitários (</w:t>
            </w:r>
            <w:proofErr w:type="spellStart"/>
            <w:r w:rsidRPr="008E773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4"/>
              </w:rPr>
              <w:t>outliers</w:t>
            </w:r>
            <w:proofErr w:type="spellEnd"/>
            <w:r w:rsidRPr="008E7732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4"/>
              </w:rPr>
              <w:t>).</w:t>
            </w:r>
          </w:p>
        </w:tc>
      </w:tr>
    </w:tbl>
    <w:p w:rsidR="007B4A63" w:rsidRPr="00D2551D" w:rsidRDefault="00CE2E65">
      <w:pPr>
        <w:rPr>
          <w:color w:val="auto"/>
        </w:rPr>
      </w:pPr>
      <w:r w:rsidRPr="00D2551D">
        <w:rPr>
          <w:rFonts w:ascii="Times New Roman" w:hAnsi="Times New Roman" w:cs="Times New Roman"/>
          <w:b w:val="0"/>
          <w:bCs w:val="0"/>
          <w:color w:val="auto"/>
          <w:sz w:val="20"/>
        </w:rPr>
        <w:t>Quadro 1</w:t>
      </w:r>
      <w:r w:rsidRPr="00D2551D">
        <w:rPr>
          <w:rFonts w:ascii="Times New Roman" w:hAnsi="Times New Roman" w:cs="Times New Roman"/>
          <w:color w:val="auto"/>
          <w:sz w:val="20"/>
        </w:rPr>
        <w:t>: Critérios de Seleção da Amostra.</w:t>
      </w:r>
    </w:p>
    <w:sectPr w:rsidR="007B4A63" w:rsidRPr="00D2551D" w:rsidSect="007B4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E2E65"/>
    <w:rsid w:val="001056C4"/>
    <w:rsid w:val="00202B39"/>
    <w:rsid w:val="00313B4D"/>
    <w:rsid w:val="00477440"/>
    <w:rsid w:val="007B4A63"/>
    <w:rsid w:val="00CA143F"/>
    <w:rsid w:val="00CE2E65"/>
    <w:rsid w:val="00D2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E65"/>
    <w:pPr>
      <w:spacing w:after="0" w:line="240" w:lineRule="auto"/>
    </w:pPr>
    <w:rPr>
      <w:rFonts w:ascii="Arial" w:eastAsia="Times New Roman" w:hAnsi="Arial" w:cs="Arial"/>
      <w:b/>
      <w:bCs/>
      <w:color w:val="FF00FF"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.</Manager>
  <Company>.</Company>
  <LinksUpToDate>false</LinksUpToDate>
  <CharactersWithSpaces>2619</CharactersWithSpaces>
  <SharedDoc>false</SharedDoc>
  <HyperlinkBase>.\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3</cp:revision>
  <dcterms:created xsi:type="dcterms:W3CDTF">2011-08-12T18:03:00Z</dcterms:created>
  <dcterms:modified xsi:type="dcterms:W3CDTF">2011-08-12T18:04:00Z</dcterms:modified>
  <cp:category>.</cp:category>
  <cp:contentStatus>.</cp:contentStatus>
</cp:coreProperties>
</file>