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360" w:rsidRDefault="00B76360" w:rsidP="00B76360">
      <w:pPr>
        <w:shd w:val="clear" w:color="auto" w:fill="FFFFFF"/>
        <w:autoSpaceDE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76360" w:rsidRPr="00513070" w:rsidRDefault="00B76360" w:rsidP="00B76360">
      <w:pPr>
        <w:rPr>
          <w:rFonts w:ascii="Arial" w:hAnsi="Arial" w:cs="Arial"/>
          <w:sz w:val="24"/>
          <w:szCs w:val="24"/>
        </w:rPr>
      </w:pPr>
      <w:r w:rsidRPr="00513070">
        <w:rPr>
          <w:rFonts w:ascii="Arial" w:hAnsi="Arial" w:cs="Arial"/>
          <w:sz w:val="24"/>
          <w:szCs w:val="24"/>
        </w:rPr>
        <w:t xml:space="preserve">Tabela 1: Principais achados em estudos envolvendo </w:t>
      </w:r>
      <w:proofErr w:type="spellStart"/>
      <w:r w:rsidRPr="00513070">
        <w:rPr>
          <w:rFonts w:ascii="Arial" w:hAnsi="Arial" w:cs="Arial"/>
          <w:sz w:val="24"/>
          <w:szCs w:val="24"/>
        </w:rPr>
        <w:t>PPSTs</w:t>
      </w:r>
      <w:proofErr w:type="spellEnd"/>
      <w:r w:rsidRPr="00513070">
        <w:rPr>
          <w:rFonts w:ascii="Arial" w:hAnsi="Arial" w:cs="Arial"/>
          <w:sz w:val="24"/>
          <w:szCs w:val="24"/>
        </w:rPr>
        <w:t xml:space="preserve"> e </w:t>
      </w:r>
      <w:proofErr w:type="spellStart"/>
      <w:r w:rsidRPr="00513070">
        <w:rPr>
          <w:rFonts w:ascii="Arial" w:hAnsi="Arial" w:cs="Arial"/>
          <w:sz w:val="24"/>
          <w:szCs w:val="24"/>
        </w:rPr>
        <w:t>PGLs</w:t>
      </w:r>
      <w:proofErr w:type="spellEnd"/>
    </w:p>
    <w:tbl>
      <w:tblPr>
        <w:tblStyle w:val="SombreamentoClaro-nfase1"/>
        <w:tblW w:w="11152" w:type="dxa"/>
        <w:tblInd w:w="-1168" w:type="dxa"/>
        <w:tblLayout w:type="fixed"/>
        <w:tblLook w:val="04A0"/>
      </w:tblPr>
      <w:tblGrid>
        <w:gridCol w:w="1290"/>
        <w:gridCol w:w="1573"/>
        <w:gridCol w:w="1935"/>
        <w:gridCol w:w="164"/>
        <w:gridCol w:w="83"/>
        <w:gridCol w:w="2752"/>
        <w:gridCol w:w="316"/>
        <w:gridCol w:w="2583"/>
        <w:gridCol w:w="220"/>
        <w:gridCol w:w="16"/>
        <w:gridCol w:w="16"/>
        <w:gridCol w:w="204"/>
      </w:tblGrid>
      <w:tr w:rsidR="00B76360" w:rsidRPr="00513070" w:rsidTr="001E6B67">
        <w:trPr>
          <w:gridAfter w:val="2"/>
          <w:cnfStyle w:val="100000000000"/>
          <w:wAfter w:w="220" w:type="dxa"/>
          <w:trHeight w:val="902"/>
        </w:trPr>
        <w:tc>
          <w:tcPr>
            <w:cnfStyle w:val="001000000000"/>
            <w:tcW w:w="1290" w:type="dxa"/>
            <w:vAlign w:val="center"/>
          </w:tcPr>
          <w:p w:rsidR="00B76360" w:rsidRPr="00513070" w:rsidRDefault="00B76360" w:rsidP="001E6B6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Autor/ano de           pu</w:t>
            </w:r>
            <w:r w:rsidR="00096228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licação</w:t>
            </w:r>
          </w:p>
        </w:tc>
        <w:tc>
          <w:tcPr>
            <w:tcW w:w="1573" w:type="dxa"/>
            <w:vAlign w:val="center"/>
          </w:tcPr>
          <w:p w:rsidR="00B76360" w:rsidRPr="00513070" w:rsidRDefault="00B76360" w:rsidP="001E6B67">
            <w:pPr>
              <w:tabs>
                <w:tab w:val="left" w:pos="1061"/>
              </w:tabs>
              <w:ind w:firstLine="20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Objetivo</w:t>
            </w:r>
          </w:p>
        </w:tc>
        <w:tc>
          <w:tcPr>
            <w:tcW w:w="2099" w:type="dxa"/>
            <w:gridSpan w:val="2"/>
            <w:vAlign w:val="center"/>
          </w:tcPr>
          <w:p w:rsidR="00B76360" w:rsidRPr="00513070" w:rsidRDefault="00B76360" w:rsidP="001E6B67">
            <w:pPr>
              <w:spacing w:line="360" w:lineRule="auto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Sujeitos</w:t>
            </w:r>
          </w:p>
        </w:tc>
        <w:tc>
          <w:tcPr>
            <w:tcW w:w="2835" w:type="dxa"/>
            <w:gridSpan w:val="2"/>
            <w:vAlign w:val="center"/>
          </w:tcPr>
          <w:p w:rsidR="00B76360" w:rsidRPr="00513070" w:rsidRDefault="00B76360" w:rsidP="001E6B67">
            <w:pPr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Métodos</w:t>
            </w:r>
          </w:p>
        </w:tc>
        <w:tc>
          <w:tcPr>
            <w:tcW w:w="2899" w:type="dxa"/>
            <w:gridSpan w:val="2"/>
            <w:vAlign w:val="center"/>
          </w:tcPr>
          <w:p w:rsidR="00B76360" w:rsidRPr="00513070" w:rsidRDefault="00B76360" w:rsidP="001E6B67">
            <w:pPr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Principais resultados</w:t>
            </w:r>
          </w:p>
        </w:tc>
        <w:tc>
          <w:tcPr>
            <w:tcW w:w="236" w:type="dxa"/>
            <w:gridSpan w:val="2"/>
            <w:vAlign w:val="center"/>
          </w:tcPr>
          <w:p w:rsidR="00B76360" w:rsidRPr="00513070" w:rsidRDefault="00B76360" w:rsidP="001E6B67">
            <w:pPr>
              <w:ind w:left="-51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rPr>
          <w:gridAfter w:val="1"/>
          <w:cnfStyle w:val="000000100000"/>
          <w:wAfter w:w="204" w:type="dxa"/>
          <w:trHeight w:val="831"/>
        </w:trPr>
        <w:tc>
          <w:tcPr>
            <w:cnfStyle w:val="001000000000"/>
            <w:tcW w:w="1290" w:type="dxa"/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Carvalho e Moreno     (2007)   </w:t>
            </w:r>
          </w:p>
        </w:tc>
        <w:tc>
          <w:tcPr>
            <w:tcW w:w="1573" w:type="dxa"/>
          </w:tcPr>
          <w:p w:rsidR="00B76360" w:rsidRPr="00513070" w:rsidRDefault="00B76360" w:rsidP="001E6B67">
            <w:pPr>
              <w:ind w:firstLine="2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firstLine="2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Constatar efeito de PPST na saúde de mineradores (MG/Brasil)</w:t>
            </w:r>
          </w:p>
        </w:tc>
        <w:tc>
          <w:tcPr>
            <w:tcW w:w="1935" w:type="dxa"/>
          </w:tcPr>
          <w:p w:rsidR="00B76360" w:rsidRPr="00513070" w:rsidRDefault="00B76360" w:rsidP="001E6B67">
            <w:pPr>
              <w:ind w:left="-22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left="-22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30 homens trabalhadores (idade média de 32,4 anos) de empresa de minério de ferro </w:t>
            </w:r>
          </w:p>
        </w:tc>
        <w:tc>
          <w:tcPr>
            <w:tcW w:w="247" w:type="dxa"/>
            <w:gridSpan w:val="2"/>
          </w:tcPr>
          <w:p w:rsidR="00B76360" w:rsidRPr="00513070" w:rsidRDefault="00B76360" w:rsidP="001E6B67">
            <w:pPr>
              <w:ind w:hanging="8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68" w:type="dxa"/>
            <w:gridSpan w:val="2"/>
          </w:tcPr>
          <w:p w:rsidR="00B76360" w:rsidRPr="00513070" w:rsidRDefault="00B76360" w:rsidP="001E6B67">
            <w:pPr>
              <w:ind w:left="-49" w:hanging="142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left="-49" w:hanging="142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  Utilização do questionário SF-36 para avaliar o estado geral de saúde de trabalhadores que participaram do PPST (componentes do programa não foram identificados)</w:t>
            </w:r>
          </w:p>
        </w:tc>
        <w:tc>
          <w:tcPr>
            <w:tcW w:w="2835" w:type="dxa"/>
            <w:gridSpan w:val="4"/>
          </w:tcPr>
          <w:p w:rsidR="00B76360" w:rsidRPr="00513070" w:rsidRDefault="00B76360" w:rsidP="001E6B67">
            <w:pPr>
              <w:ind w:right="175" w:hanging="296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76360" w:rsidRPr="00513070" w:rsidRDefault="00B76360" w:rsidP="001E6B67">
            <w:pPr>
              <w:ind w:right="175" w:hanging="296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Antes do PPST escores dos sujeitos sobre estado geral de saúde foi de     </w:t>
            </w: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76,1 ± 9,7 e após PPST,</w:t>
            </w:r>
            <w:proofErr w:type="gramStart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82,4 ± 9,7 (p=0,02), sugerindo que trabalhadores se </w:t>
            </w:r>
            <w:proofErr w:type="spellStart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autoavaliaram</w:t>
            </w:r>
            <w:proofErr w:type="spellEnd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 com melhor condição de saúde após implantação do programa </w:t>
            </w:r>
          </w:p>
        </w:tc>
      </w:tr>
      <w:tr w:rsidR="00B76360" w:rsidRPr="00513070" w:rsidTr="001E6B67">
        <w:trPr>
          <w:trHeight w:val="2957"/>
        </w:trPr>
        <w:tc>
          <w:tcPr>
            <w:cnfStyle w:val="001000000000"/>
            <w:tcW w:w="1290" w:type="dxa"/>
          </w:tcPr>
          <w:p w:rsidR="00B76360" w:rsidRPr="00513070" w:rsidRDefault="00B76360" w:rsidP="001E6B6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Green </w:t>
            </w:r>
            <w:proofErr w:type="spellStart"/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et</w:t>
            </w:r>
            <w:proofErr w:type="spellEnd"/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al. (2007)</w:t>
            </w:r>
          </w:p>
        </w:tc>
        <w:tc>
          <w:tcPr>
            <w:tcW w:w="1573" w:type="dxa"/>
          </w:tcPr>
          <w:p w:rsidR="00B76360" w:rsidRPr="00513070" w:rsidRDefault="00B76360" w:rsidP="001E6B67">
            <w:pPr>
              <w:ind w:firstLine="20"/>
              <w:jc w:val="both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firstLine="20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Verificar impacto de programa de atividade física (AF) de PPST (EUA)</w:t>
            </w:r>
          </w:p>
        </w:tc>
        <w:tc>
          <w:tcPr>
            <w:tcW w:w="2099" w:type="dxa"/>
            <w:gridSpan w:val="2"/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565 trabalhadores (86% mulheres) do </w:t>
            </w:r>
            <w:proofErr w:type="spellStart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>Group</w:t>
            </w:r>
            <w:proofErr w:type="spellEnd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>Health</w:t>
            </w:r>
            <w:proofErr w:type="spellEnd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>Cooperative</w:t>
            </w:r>
            <w:proofErr w:type="spellEnd"/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76360" w:rsidRPr="00513070" w:rsidRDefault="00B76360" w:rsidP="001E6B67">
            <w:pPr>
              <w:ind w:left="7" w:right="-108" w:hanging="101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left="7" w:right="-108" w:hanging="101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 Intervenção incluía exposição a conteúdo (</w:t>
            </w:r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online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>offline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) para promoção da AF, estabelecimento de objetivos,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automonitoramento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, incentivos e competições entre equipes. AF foi avaliada com pedômetro e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autorelato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da AF foi medido por exercício (equivalentes metabólicos por semana/METS e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frequência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de suor) e questionário de estágios de mudança de comportamento</w:t>
            </w:r>
          </w:p>
        </w:tc>
        <w:tc>
          <w:tcPr>
            <w:tcW w:w="3119" w:type="dxa"/>
            <w:gridSpan w:val="3"/>
          </w:tcPr>
          <w:p w:rsidR="00B76360" w:rsidRPr="00513070" w:rsidRDefault="00B76360" w:rsidP="001E6B67">
            <w:pPr>
              <w:ind w:left="175" w:right="-44" w:hanging="250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left="175" w:right="-44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Em 10 semanas as medidas de AF aumentaram significativamente (prática de AF aumentou de </w:t>
            </w: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34% para 48%, p&lt;0,01), mas seis meses após o início da intervenção a única variável que permaneceu significativamente aumentada foi a </w:t>
            </w:r>
            <w:proofErr w:type="spellStart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frequência</w:t>
            </w:r>
            <w:proofErr w:type="spellEnd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 de exercitar-se o suficiente para suar um pouco (p&lt;0,01)</w:t>
            </w:r>
          </w:p>
        </w:tc>
        <w:tc>
          <w:tcPr>
            <w:tcW w:w="236" w:type="dxa"/>
            <w:gridSpan w:val="3"/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rPr>
          <w:gridAfter w:val="2"/>
          <w:cnfStyle w:val="000000100000"/>
          <w:wAfter w:w="220" w:type="dxa"/>
        </w:trPr>
        <w:tc>
          <w:tcPr>
            <w:cnfStyle w:val="001000000000"/>
            <w:tcW w:w="1290" w:type="dxa"/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Lara </w:t>
            </w:r>
            <w:proofErr w:type="spellStart"/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et</w:t>
            </w:r>
            <w:proofErr w:type="spellEnd"/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al. (2008)</w:t>
            </w:r>
          </w:p>
        </w:tc>
        <w:tc>
          <w:tcPr>
            <w:tcW w:w="1573" w:type="dxa"/>
          </w:tcPr>
          <w:p w:rsidR="00B76360" w:rsidRPr="00513070" w:rsidRDefault="00B76360" w:rsidP="001E6B67">
            <w:pPr>
              <w:ind w:firstLine="2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firstLine="2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Examinar efeitos diários de um ano de PGL em Índice de Massa Corporal/IMC, perímetro da cintura/PC e pressão arterial (México)</w:t>
            </w:r>
          </w:p>
        </w:tc>
        <w:tc>
          <w:tcPr>
            <w:tcW w:w="2099" w:type="dxa"/>
            <w:gridSpan w:val="2"/>
          </w:tcPr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335 trabalhadores (62% mulheres) do ministério da saúde </w:t>
            </w:r>
          </w:p>
        </w:tc>
        <w:tc>
          <w:tcPr>
            <w:tcW w:w="2835" w:type="dxa"/>
            <w:gridSpan w:val="2"/>
          </w:tcPr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Intervenção contava em aulas com 10 minutos de duração, apresentavam alongamento leve e movimentos de dança, verificando-se efeitos por avaliação biométrica</w:t>
            </w:r>
          </w:p>
        </w:tc>
        <w:tc>
          <w:tcPr>
            <w:tcW w:w="2899" w:type="dxa"/>
            <w:gridSpan w:val="2"/>
            <w:tcBorders>
              <w:top w:val="nil"/>
              <w:bottom w:val="nil"/>
            </w:tcBorders>
          </w:tcPr>
          <w:p w:rsidR="00B76360" w:rsidRPr="00513070" w:rsidRDefault="00B76360" w:rsidP="001E6B67">
            <w:pPr>
              <w:jc w:val="both"/>
              <w:cnfStyle w:val="000000100000"/>
              <w:rPr>
                <w:rFonts w:ascii="Arial" w:hAnsi="Arial" w:cs="Arial"/>
                <w:color w:val="auto"/>
                <w:sz w:val="20"/>
                <w:szCs w:val="24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4"/>
              </w:rPr>
              <w:t>No geral, IMC diminuiu 0,32 kg/m2 (p=0,05) e PC reduziu 1,6 cm (p=</w:t>
            </w:r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4"/>
              </w:rPr>
              <w:t>0,</w:t>
            </w:r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4"/>
              </w:rPr>
              <w:t>009), sendo que IMC mostrou redução significativa (-0,43kg/m2) apenas para homens (p=0,03) e análise multivariada revelou significativa diminuição da pressão arterial diastólica entre mulheres (p=0,042)</w:t>
            </w:r>
          </w:p>
        </w:tc>
        <w:tc>
          <w:tcPr>
            <w:tcW w:w="236" w:type="dxa"/>
            <w:gridSpan w:val="2"/>
          </w:tcPr>
          <w:p w:rsidR="00B76360" w:rsidRPr="00513070" w:rsidRDefault="00B76360" w:rsidP="001E6B6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rPr>
          <w:gridAfter w:val="2"/>
          <w:wAfter w:w="220" w:type="dxa"/>
        </w:trPr>
        <w:tc>
          <w:tcPr>
            <w:cnfStyle w:val="001000000000"/>
            <w:tcW w:w="1290" w:type="dxa"/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Silva, Martins e Ferreira (2011)</w:t>
            </w:r>
          </w:p>
        </w:tc>
        <w:tc>
          <w:tcPr>
            <w:tcW w:w="1573" w:type="dxa"/>
          </w:tcPr>
          <w:p w:rsidR="00B76360" w:rsidRPr="00513070" w:rsidRDefault="00B76360" w:rsidP="001E6B67">
            <w:pPr>
              <w:ind w:firstLine="20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firstLine="20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Identificar condições biomecânicas insalubres em PGL aplicado em 10 setores de hospital (PB/Brasil) </w:t>
            </w:r>
          </w:p>
        </w:tc>
        <w:tc>
          <w:tcPr>
            <w:tcW w:w="2099" w:type="dxa"/>
            <w:gridSpan w:val="2"/>
          </w:tcPr>
          <w:p w:rsidR="00B76360" w:rsidRPr="00513070" w:rsidRDefault="00B76360" w:rsidP="001E6B6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jc w:val="both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88 funcionários (20 homens) de hospital universitário de João Pessoa</w:t>
            </w: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Aplicação de </w:t>
            </w:r>
            <w:proofErr w:type="spellStart"/>
            <w:r w:rsidRPr="00513070">
              <w:rPr>
                <w:rFonts w:ascii="Arial" w:hAnsi="Arial" w:cs="Arial"/>
                <w:i/>
                <w:color w:val="auto"/>
                <w:sz w:val="20"/>
                <w:szCs w:val="20"/>
              </w:rPr>
              <w:t>checklist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para identificar movimentos altamente repetitivos (MAR), preensão manual excessiva (PME),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  <w:t xml:space="preserve"> postura corporal inadequada (PCI), impacto repetitivo (IR), vibração braço-mão moderada à elevada (VBMME) e levantamento pesado,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  <w:t>frequente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  <w:t xml:space="preserve"> ou inadequado (LPFI), além de registro de comentários e observações</w:t>
            </w:r>
          </w:p>
        </w:tc>
        <w:tc>
          <w:tcPr>
            <w:tcW w:w="2899" w:type="dxa"/>
            <w:gridSpan w:val="2"/>
            <w:tcBorders>
              <w:top w:val="nil"/>
            </w:tcBorders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  <w:t>Verificou-se que MAR esteve presente em 100% dos locais avaliados, sendo referenciados nos demais setores PCI (94,7%), PME (21%), LPFI (10,5%) e VBMME (10,5%); o IR (0%) não foi identificado em qualquer setor e o ruído de centrífuga (10,5%) foi um preocupante fator constatado</w:t>
            </w:r>
          </w:p>
        </w:tc>
        <w:tc>
          <w:tcPr>
            <w:tcW w:w="236" w:type="dxa"/>
            <w:gridSpan w:val="2"/>
          </w:tcPr>
          <w:p w:rsidR="00B76360" w:rsidRPr="00513070" w:rsidRDefault="00B76360" w:rsidP="001E6B6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B76360" w:rsidRPr="00513070" w:rsidRDefault="00B76360" w:rsidP="00B7636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Fonte: Elaborada pelos autores</w:t>
      </w:r>
    </w:p>
    <w:p w:rsidR="00B76360" w:rsidRDefault="00B76360" w:rsidP="00B76360">
      <w:pPr>
        <w:shd w:val="clear" w:color="auto" w:fill="FFFFFF"/>
        <w:autoSpaceDE w:val="0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B76360" w:rsidRPr="00513070" w:rsidRDefault="00B76360" w:rsidP="00B76360">
      <w:pPr>
        <w:shd w:val="clear" w:color="auto" w:fill="FFFFFF"/>
        <w:autoSpaceDE w:val="0"/>
        <w:spacing w:after="0" w:line="240" w:lineRule="auto"/>
        <w:ind w:left="-1276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513070">
        <w:rPr>
          <w:rFonts w:ascii="Arial" w:eastAsia="Times New Roman" w:hAnsi="Arial" w:cs="Arial"/>
          <w:bCs/>
          <w:sz w:val="24"/>
          <w:szCs w:val="24"/>
          <w:lang w:eastAsia="pt-BR"/>
        </w:rPr>
        <w:t>Tabela 2: Efeitos da GL</w:t>
      </w:r>
    </w:p>
    <w:tbl>
      <w:tblPr>
        <w:tblStyle w:val="SombreamentoClaro-nfase1"/>
        <w:tblpPr w:leftFromText="141" w:rightFromText="141" w:vertAnchor="text" w:horzAnchor="margin" w:tblpXSpec="center" w:tblpY="316"/>
        <w:tblW w:w="11074" w:type="dxa"/>
        <w:tblLayout w:type="fixed"/>
        <w:tblLook w:val="04A0"/>
      </w:tblPr>
      <w:tblGrid>
        <w:gridCol w:w="1290"/>
        <w:gridCol w:w="1573"/>
        <w:gridCol w:w="2408"/>
        <w:gridCol w:w="2668"/>
        <w:gridCol w:w="2899"/>
        <w:gridCol w:w="236"/>
      </w:tblGrid>
      <w:tr w:rsidR="00B76360" w:rsidRPr="00513070" w:rsidTr="001E6B67">
        <w:trPr>
          <w:cnfStyle w:val="100000000000"/>
          <w:trHeight w:val="685"/>
        </w:trPr>
        <w:tc>
          <w:tcPr>
            <w:cnfStyle w:val="001000000000"/>
            <w:tcW w:w="1290" w:type="dxa"/>
            <w:vAlign w:val="center"/>
          </w:tcPr>
          <w:p w:rsidR="00B76360" w:rsidRPr="00513070" w:rsidRDefault="00B76360" w:rsidP="001E6B67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Autor/ano de           pu</w:t>
            </w:r>
            <w:r w:rsidR="00096228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licação</w:t>
            </w:r>
          </w:p>
        </w:tc>
        <w:tc>
          <w:tcPr>
            <w:tcW w:w="1573" w:type="dxa"/>
            <w:vAlign w:val="center"/>
          </w:tcPr>
          <w:p w:rsidR="00B76360" w:rsidRPr="00513070" w:rsidRDefault="00B76360" w:rsidP="001E6B67">
            <w:pPr>
              <w:tabs>
                <w:tab w:val="left" w:pos="1061"/>
              </w:tabs>
              <w:ind w:left="199" w:hanging="272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Objetivo</w:t>
            </w:r>
          </w:p>
          <w:p w:rsidR="00B76360" w:rsidRPr="00513070" w:rsidRDefault="00B76360" w:rsidP="001E6B67">
            <w:pPr>
              <w:tabs>
                <w:tab w:val="left" w:pos="1061"/>
              </w:tabs>
              <w:ind w:left="199" w:hanging="272"/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Principal</w:t>
            </w:r>
          </w:p>
        </w:tc>
        <w:tc>
          <w:tcPr>
            <w:tcW w:w="2408" w:type="dxa"/>
            <w:vAlign w:val="center"/>
          </w:tcPr>
          <w:p w:rsidR="00B76360" w:rsidRPr="00513070" w:rsidRDefault="00B76360" w:rsidP="001E6B67">
            <w:pPr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Sujeitos</w:t>
            </w:r>
          </w:p>
        </w:tc>
        <w:tc>
          <w:tcPr>
            <w:tcW w:w="2668" w:type="dxa"/>
            <w:vAlign w:val="center"/>
          </w:tcPr>
          <w:p w:rsidR="00B76360" w:rsidRPr="00513070" w:rsidRDefault="00B76360" w:rsidP="001E6B67">
            <w:pPr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Métodos</w:t>
            </w:r>
          </w:p>
        </w:tc>
        <w:tc>
          <w:tcPr>
            <w:tcW w:w="2899" w:type="dxa"/>
            <w:vAlign w:val="center"/>
          </w:tcPr>
          <w:p w:rsidR="00B76360" w:rsidRPr="00513070" w:rsidRDefault="00B76360" w:rsidP="001E6B67">
            <w:pPr>
              <w:jc w:val="center"/>
              <w:cnfStyle w:val="1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Principais resultados</w:t>
            </w:r>
          </w:p>
        </w:tc>
        <w:tc>
          <w:tcPr>
            <w:tcW w:w="236" w:type="dxa"/>
            <w:vAlign w:val="center"/>
          </w:tcPr>
          <w:p w:rsidR="00B76360" w:rsidRPr="00513070" w:rsidRDefault="00B76360" w:rsidP="001E6B67">
            <w:pPr>
              <w:ind w:left="-51"/>
              <w:jc w:val="center"/>
              <w:cnfStyle w:val="1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rPr>
          <w:cnfStyle w:val="000000100000"/>
          <w:trHeight w:val="685"/>
        </w:trPr>
        <w:tc>
          <w:tcPr>
            <w:cnfStyle w:val="001000000000"/>
            <w:tcW w:w="1290" w:type="dxa"/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Martins e Barreto (2007)</w:t>
            </w: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3" w:type="dxa"/>
          </w:tcPr>
          <w:p w:rsidR="00B76360" w:rsidRPr="00513070" w:rsidRDefault="00B76360" w:rsidP="001E6B67">
            <w:pPr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Compensar </w:t>
            </w:r>
            <w:proofErr w:type="spellStart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consequências</w:t>
            </w:r>
            <w:proofErr w:type="spellEnd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 da postura corporal (</w:t>
            </w:r>
            <w:proofErr w:type="spellStart"/>
            <w:proofErr w:type="gramStart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PoC</w:t>
            </w:r>
            <w:proofErr w:type="spellEnd"/>
            <w:proofErr w:type="gramEnd"/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) e exigências do trabalho por meio de exercícios estáticos e pouco complexos, sem exigir combinações excessivas entre membros (SP)</w:t>
            </w:r>
          </w:p>
        </w:tc>
        <w:tc>
          <w:tcPr>
            <w:tcW w:w="2408" w:type="dxa"/>
          </w:tcPr>
          <w:p w:rsidR="00B76360" w:rsidRPr="00513070" w:rsidRDefault="00B76360" w:rsidP="001E6B67">
            <w:pPr>
              <w:cnfStyle w:val="00000010000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>13 trabalhadores (quatro homens e nove mulheres com idade entre 23 a 54 anos) do Instituto de Física da USP de São Carlos</w:t>
            </w:r>
          </w:p>
        </w:tc>
        <w:tc>
          <w:tcPr>
            <w:tcW w:w="2668" w:type="dxa"/>
          </w:tcPr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Em 2002 a GL foi ministrada </w:t>
            </w:r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vezes por semana (x/sem), em torno de 20 minutos, ao final do expediente, sendo que cada exercício tinha duração de 15 segundos, preservado-se o limite de sustentação da posição de cada trabalhador. Em 2003 a GL teve freqüência de 2x/sem nos períodos manhã e tarde e em 2004, 4x/sem, mas só pela manhã. Os efeitos da GL foram avaliados por </w:t>
            </w:r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 xml:space="preserve">questionário investigativo sobre dores decorrentes do trabalho, teste de sentar e alcançar, </w:t>
            </w:r>
            <w:proofErr w:type="spellStart"/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>flexiteste</w:t>
            </w:r>
            <w:proofErr w:type="spellEnd"/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 xml:space="preserve"> e questionário de satisfação com GL</w:t>
            </w:r>
          </w:p>
        </w:tc>
        <w:tc>
          <w:tcPr>
            <w:tcW w:w="2899" w:type="dxa"/>
          </w:tcPr>
          <w:p w:rsidR="00B76360" w:rsidRPr="00513070" w:rsidRDefault="00B76360" w:rsidP="001E6B67">
            <w:pPr>
              <w:cnfStyle w:val="00000010000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 xml:space="preserve">Aulas de GL demonstraram-se efetivas na melhora do desempenho nos testes de sentar e alcançar e </w:t>
            </w:r>
            <w:proofErr w:type="spellStart"/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>flexiteste</w:t>
            </w:r>
            <w:proofErr w:type="spellEnd"/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>, e na redução da incidência de dores musculares e/ou posturais durante a jornada de trabalho e ao acordar</w:t>
            </w:r>
          </w:p>
        </w:tc>
        <w:tc>
          <w:tcPr>
            <w:tcW w:w="236" w:type="dxa"/>
            <w:vAlign w:val="center"/>
          </w:tcPr>
          <w:p w:rsidR="00B76360" w:rsidRPr="00513070" w:rsidRDefault="00B76360" w:rsidP="001E6B67">
            <w:pPr>
              <w:ind w:left="-51"/>
              <w:jc w:val="center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c>
          <w:tcPr>
            <w:cnfStyle w:val="001000000000"/>
            <w:tcW w:w="1290" w:type="dxa"/>
            <w:tcBorders>
              <w:top w:val="nil"/>
              <w:bottom w:val="nil"/>
            </w:tcBorders>
            <w:shd w:val="clear" w:color="auto" w:fill="auto"/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Gondim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et</w:t>
            </w:r>
            <w:proofErr w:type="spellEnd"/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al. (2009)</w:t>
            </w:r>
          </w:p>
        </w:tc>
        <w:tc>
          <w:tcPr>
            <w:tcW w:w="1573" w:type="dxa"/>
            <w:tcBorders>
              <w:top w:val="nil"/>
              <w:bottom w:val="nil"/>
            </w:tcBorders>
            <w:shd w:val="clear" w:color="auto" w:fill="auto"/>
          </w:tcPr>
          <w:p w:rsidR="00B76360" w:rsidRPr="00513070" w:rsidRDefault="00B76360" w:rsidP="001E6B67">
            <w:pPr>
              <w:cnfStyle w:val="000000000000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 xml:space="preserve">Conhecer aspectos </w:t>
            </w:r>
            <w:proofErr w:type="spellStart"/>
            <w:r w:rsidRPr="00513070"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eastAsia="pt-BR"/>
              </w:rPr>
              <w:t>da</w:t>
            </w:r>
            <w:r w:rsidRPr="00513070">
              <w:rPr>
                <w:rFonts w:ascii="Arial" w:hAnsi="Arial" w:cs="Arial"/>
                <w:iCs/>
                <w:color w:val="auto"/>
                <w:sz w:val="20"/>
                <w:szCs w:val="20"/>
              </w:rPr>
              <w:t>saúde</w:t>
            </w:r>
            <w:proofErr w:type="spellEnd"/>
            <w:r w:rsidRPr="00513070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ocupacional de colaboradores de hospital avaliando GL e sua influência na QV do trabalho (CE)</w:t>
            </w:r>
          </w:p>
        </w:tc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B76360" w:rsidRPr="00513070" w:rsidRDefault="00B76360" w:rsidP="001E6B67">
            <w:pPr>
              <w:jc w:val="both"/>
              <w:cnfStyle w:val="000000000000"/>
              <w:rPr>
                <w:rFonts w:ascii="Arial" w:hAnsi="Arial" w:cs="Arial"/>
                <w:iCs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jc w:val="both"/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iCs/>
                <w:color w:val="auto"/>
                <w:sz w:val="20"/>
                <w:szCs w:val="20"/>
              </w:rPr>
              <w:t>22 trabalhadores (19 mulheres) de hospital público de Fortaleza</w:t>
            </w:r>
          </w:p>
        </w:tc>
        <w:tc>
          <w:tcPr>
            <w:tcW w:w="2668" w:type="dxa"/>
            <w:tcBorders>
              <w:top w:val="nil"/>
              <w:bottom w:val="nil"/>
            </w:tcBorders>
            <w:shd w:val="clear" w:color="auto" w:fill="auto"/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  <w:bdr w:val="none" w:sz="0" w:space="0" w:color="auto" w:frame="1"/>
              </w:rPr>
              <w:t>Aplicou-se questionário aos trabalhadores</w:t>
            </w:r>
            <w:r w:rsidRPr="00513070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 que freqüentaram a GL 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há pelo menos três meses (com assiduidade mínima de </w:t>
            </w:r>
            <w:proofErr w:type="gram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2</w:t>
            </w:r>
            <w:proofErr w:type="gram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x/s) e que trabalhavam no hospital por período igual ou superior a um ano</w:t>
            </w:r>
          </w:p>
        </w:tc>
        <w:tc>
          <w:tcPr>
            <w:tcW w:w="2899" w:type="dxa"/>
            <w:tcBorders>
              <w:top w:val="nil"/>
              <w:bottom w:val="nil"/>
            </w:tcBorders>
            <w:shd w:val="clear" w:color="auto" w:fill="auto"/>
          </w:tcPr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:rsidR="00B76360" w:rsidRPr="00513070" w:rsidRDefault="00B76360" w:rsidP="001E6B67">
            <w:pPr>
              <w:cnfStyle w:val="0000000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iCs/>
                <w:color w:val="auto"/>
                <w:sz w:val="20"/>
                <w:szCs w:val="20"/>
              </w:rPr>
              <w:t xml:space="preserve">Aulas atenderam necessidades da maioria, pois 17 respostas refletiram 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melhoria no desempenho no trabalho em virtude do aumento da disposição para realizar tarefas ocupacionais, 12 respostas indicaram melhoria da postura corporal e 11 afirmações reportaram redução de outras queixas de natureza física</w:t>
            </w:r>
          </w:p>
        </w:tc>
        <w:tc>
          <w:tcPr>
            <w:tcW w:w="236" w:type="dxa"/>
          </w:tcPr>
          <w:p w:rsidR="00B76360" w:rsidRPr="00513070" w:rsidRDefault="00B76360" w:rsidP="001E6B67">
            <w:pPr>
              <w:spacing w:line="360" w:lineRule="auto"/>
              <w:jc w:val="both"/>
              <w:cnfStyle w:val="0000000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B76360" w:rsidRPr="00513070" w:rsidTr="001E6B67">
        <w:trPr>
          <w:cnfStyle w:val="000000100000"/>
        </w:trPr>
        <w:tc>
          <w:tcPr>
            <w:cnfStyle w:val="001000000000"/>
            <w:tcW w:w="1290" w:type="dxa"/>
            <w:tcBorders>
              <w:top w:val="nil"/>
            </w:tcBorders>
          </w:tcPr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Ferracini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e Valente (2010)   </w:t>
            </w:r>
          </w:p>
        </w:tc>
        <w:tc>
          <w:tcPr>
            <w:tcW w:w="1573" w:type="dxa"/>
            <w:tcBorders>
              <w:top w:val="nil"/>
            </w:tcBorders>
          </w:tcPr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Avaliar presença de sintomas </w:t>
            </w:r>
            <w:proofErr w:type="spellStart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musculoesque-léticos</w:t>
            </w:r>
            <w:proofErr w:type="spellEnd"/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 e efeitos da GL em trabalhadores de hospital (SP)</w:t>
            </w:r>
          </w:p>
        </w:tc>
        <w:tc>
          <w:tcPr>
            <w:tcW w:w="2408" w:type="dxa"/>
            <w:tcBorders>
              <w:top w:val="nil"/>
            </w:tcBorders>
          </w:tcPr>
          <w:p w:rsidR="00B76360" w:rsidRPr="00513070" w:rsidRDefault="00B76360" w:rsidP="001E6B67">
            <w:pPr>
              <w:ind w:left="-22"/>
              <w:cnfStyle w:val="000000100000"/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</w:pPr>
          </w:p>
          <w:p w:rsidR="00B76360" w:rsidRPr="00513070" w:rsidRDefault="00B76360" w:rsidP="001E6B67">
            <w:pPr>
              <w:ind w:left="-22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15 funcionários de </w:t>
            </w: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setor administrativo do hospital Santa Casa de Misericórdia de São José do Rio Preto</w:t>
            </w:r>
          </w:p>
          <w:p w:rsidR="00B76360" w:rsidRPr="00513070" w:rsidRDefault="00B76360" w:rsidP="001E6B67">
            <w:pPr>
              <w:ind w:hanging="80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68" w:type="dxa"/>
            <w:tcBorders>
              <w:top w:val="nil"/>
            </w:tcBorders>
          </w:tcPr>
          <w:p w:rsidR="00B76360" w:rsidRPr="00513070" w:rsidRDefault="00B76360" w:rsidP="001E6B67">
            <w:pPr>
              <w:ind w:left="-108" w:right="951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left="-108" w:right="-74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>Aplicaram-se dois questionários abordando aspectos ergonômicos e dados dos sujeitos antes e após as aulas de GL.</w:t>
            </w: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 xml:space="preserve"> As aulas foram realizadas três vezes por semana, com duração de 10 minutos, totalizando 24 aulas</w:t>
            </w:r>
          </w:p>
        </w:tc>
        <w:tc>
          <w:tcPr>
            <w:tcW w:w="2899" w:type="dxa"/>
            <w:tcBorders>
              <w:top w:val="nil"/>
            </w:tcBorders>
          </w:tcPr>
          <w:p w:rsidR="00B76360" w:rsidRPr="00513070" w:rsidRDefault="00B76360" w:rsidP="001E6B67">
            <w:pPr>
              <w:ind w:right="175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B76360" w:rsidRPr="00513070" w:rsidRDefault="00B76360" w:rsidP="001E6B67">
            <w:pPr>
              <w:ind w:right="175"/>
              <w:cnfStyle w:val="0000001000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13070">
              <w:rPr>
                <w:rFonts w:ascii="Arial" w:hAnsi="Arial" w:cs="Arial"/>
                <w:color w:val="auto"/>
                <w:sz w:val="20"/>
                <w:szCs w:val="20"/>
              </w:rPr>
              <w:t xml:space="preserve">Membros superiores foram identificados como os mais usados durante tarefas ocupacionais; dor musculoesquelética estava presente em 73,3% antes da GL e após, 46,6% continuaram a sentir dor; </w:t>
            </w:r>
            <w:r w:rsidRPr="00513070">
              <w:rPr>
                <w:rFonts w:ascii="Arial" w:eastAsia="Times New Roman" w:hAnsi="Arial" w:cs="Arial"/>
                <w:color w:val="auto"/>
                <w:sz w:val="20"/>
                <w:szCs w:val="20"/>
                <w:lang w:eastAsia="pt-BR"/>
              </w:rPr>
              <w:t>86,6% dos participantes relataram que aulas promoveram melhorias em seu estilo de vida</w:t>
            </w:r>
          </w:p>
        </w:tc>
        <w:tc>
          <w:tcPr>
            <w:tcW w:w="236" w:type="dxa"/>
          </w:tcPr>
          <w:p w:rsidR="00B76360" w:rsidRPr="00513070" w:rsidRDefault="00B76360" w:rsidP="001E6B67">
            <w:pPr>
              <w:spacing w:line="360" w:lineRule="auto"/>
              <w:jc w:val="both"/>
              <w:cnfStyle w:val="000000100000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</w:tbl>
    <w:p w:rsidR="00B76360" w:rsidRPr="00513070" w:rsidRDefault="00B76360" w:rsidP="00B7636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Fonte: Elaborada pelos autores</w:t>
      </w:r>
      <w:bookmarkStart w:id="0" w:name="_GoBack"/>
      <w:bookmarkEnd w:id="0"/>
    </w:p>
    <w:p w:rsidR="007B1CF4" w:rsidRDefault="007B1CF4"/>
    <w:sectPr w:rsidR="007B1CF4" w:rsidSect="007B1C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76360"/>
    <w:rsid w:val="00096228"/>
    <w:rsid w:val="007B1CF4"/>
    <w:rsid w:val="00B7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3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-nfase1">
    <w:name w:val="Light Shading Accent 1"/>
    <w:basedOn w:val="Tabelanormal"/>
    <w:uiPriority w:val="60"/>
    <w:rsid w:val="00B763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885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2013-11-01T03:07:00Z</dcterms:created>
  <dcterms:modified xsi:type="dcterms:W3CDTF">2013-11-01T03:11:00Z</dcterms:modified>
</cp:coreProperties>
</file>