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CCB" w:rsidRPr="00DB4A68" w:rsidRDefault="001A4CCB" w:rsidP="001A4CCB">
      <w:pPr>
        <w:jc w:val="center"/>
      </w:pPr>
    </w:p>
    <w:p w:rsidR="001A4CCB" w:rsidRPr="00DB4A68" w:rsidRDefault="001A4CCB" w:rsidP="001A4CCB">
      <w:pPr>
        <w:jc w:val="center"/>
      </w:pPr>
    </w:p>
    <w:p w:rsidR="00605FA1" w:rsidRPr="00605FA1" w:rsidRDefault="001A4CCB" w:rsidP="00605FA1">
      <w:pPr>
        <w:spacing w:line="240" w:lineRule="auto"/>
        <w:jc w:val="center"/>
        <w:rPr>
          <w:rStyle w:val="nfase"/>
          <w:b/>
          <w:i w:val="0"/>
          <w:iCs w:val="0"/>
        </w:rPr>
      </w:pPr>
      <w:r w:rsidRPr="00DB4A68">
        <w:rPr>
          <w:b/>
        </w:rPr>
        <w:t>IDENTIFICAÇÃO DA MULTA DA POBREZA NOS ESTRATOS RURAL, URBANO E CAPITAL DO ESTADO DE SERGIPE.</w:t>
      </w:r>
    </w:p>
    <w:p w:rsidR="00605FA1" w:rsidRDefault="00605FA1" w:rsidP="00605FA1">
      <w:pPr>
        <w:spacing w:line="240" w:lineRule="auto"/>
        <w:jc w:val="both"/>
        <w:rPr>
          <w:rStyle w:val="nfase"/>
          <w:rFonts w:cs="Times New Roman"/>
          <w:b/>
          <w:bCs/>
          <w:i w:val="0"/>
          <w:iCs w:val="0"/>
          <w:szCs w:val="24"/>
          <w:shd w:val="clear" w:color="auto" w:fill="FFFFFF"/>
        </w:rPr>
      </w:pPr>
    </w:p>
    <w:p w:rsidR="00605FA1" w:rsidRDefault="00605FA1" w:rsidP="00605FA1">
      <w:pPr>
        <w:spacing w:line="240" w:lineRule="auto"/>
        <w:jc w:val="center"/>
        <w:rPr>
          <w:rStyle w:val="nfase"/>
          <w:rFonts w:cs="Times New Roman"/>
          <w:bCs/>
          <w:szCs w:val="24"/>
          <w:shd w:val="clear" w:color="auto" w:fill="FFFFFF"/>
        </w:rPr>
      </w:pPr>
      <w:r>
        <w:rPr>
          <w:rStyle w:val="nfase"/>
          <w:rFonts w:cs="Times New Roman"/>
          <w:bCs/>
          <w:szCs w:val="24"/>
          <w:shd w:val="clear" w:color="auto" w:fill="FFFFFF"/>
        </w:rPr>
        <w:t>Autores:</w:t>
      </w:r>
    </w:p>
    <w:p w:rsidR="00914815" w:rsidRPr="00E92CEA" w:rsidRDefault="00914815" w:rsidP="00914815">
      <w:pPr>
        <w:spacing w:line="240" w:lineRule="auto"/>
        <w:jc w:val="center"/>
        <w:rPr>
          <w:rStyle w:val="nfase"/>
          <w:rFonts w:cs="Times New Roman"/>
          <w:b/>
          <w:bCs/>
          <w:i w:val="0"/>
          <w:iCs w:val="0"/>
          <w:szCs w:val="24"/>
          <w:shd w:val="clear" w:color="auto" w:fill="FFFFFF"/>
        </w:rPr>
      </w:pPr>
      <w:r>
        <w:rPr>
          <w:rStyle w:val="nfase"/>
          <w:rFonts w:cs="Times New Roman"/>
          <w:b/>
          <w:bCs/>
          <w:szCs w:val="24"/>
          <w:shd w:val="clear" w:color="auto" w:fill="FFFFFF"/>
        </w:rPr>
        <w:t xml:space="preserve">Dr. </w:t>
      </w:r>
      <w:r w:rsidRPr="00E92CEA">
        <w:rPr>
          <w:rStyle w:val="nfase"/>
          <w:rFonts w:cs="Times New Roman"/>
          <w:b/>
          <w:bCs/>
          <w:szCs w:val="24"/>
          <w:shd w:val="clear" w:color="auto" w:fill="FFFFFF"/>
        </w:rPr>
        <w:t>Tácito Augusto Farias</w:t>
      </w:r>
    </w:p>
    <w:p w:rsidR="00914815" w:rsidRDefault="00914815" w:rsidP="00914815">
      <w:pPr>
        <w:spacing w:line="240" w:lineRule="auto"/>
        <w:jc w:val="both"/>
        <w:rPr>
          <w:rStyle w:val="nfase"/>
          <w:rFonts w:cs="Times New Roman"/>
          <w:bCs/>
          <w:i w:val="0"/>
          <w:iCs w:val="0"/>
          <w:szCs w:val="24"/>
          <w:shd w:val="clear" w:color="auto" w:fill="FFFFFF"/>
        </w:rPr>
      </w:pPr>
      <w:r>
        <w:rPr>
          <w:rStyle w:val="nfase"/>
          <w:rFonts w:cs="Times New Roman"/>
          <w:bCs/>
          <w:szCs w:val="24"/>
          <w:shd w:val="clear" w:color="auto" w:fill="FFFFFF"/>
        </w:rPr>
        <w:t xml:space="preserve">Doutor em Economia pela </w:t>
      </w:r>
      <w:proofErr w:type="spellStart"/>
      <w:proofErr w:type="gramStart"/>
      <w:r>
        <w:rPr>
          <w:rStyle w:val="nfase"/>
          <w:rFonts w:cs="Times New Roman"/>
          <w:bCs/>
          <w:szCs w:val="24"/>
          <w:shd w:val="clear" w:color="auto" w:fill="FFFFFF"/>
        </w:rPr>
        <w:t>Esalq</w:t>
      </w:r>
      <w:proofErr w:type="spellEnd"/>
      <w:proofErr w:type="gramEnd"/>
      <w:r>
        <w:rPr>
          <w:rStyle w:val="nfase"/>
          <w:rFonts w:cs="Times New Roman"/>
          <w:bCs/>
          <w:szCs w:val="24"/>
          <w:shd w:val="clear" w:color="auto" w:fill="FFFFFF"/>
        </w:rPr>
        <w:t xml:space="preserve">/USP. Professor efetivo do departamento de Economia da Universidade Federal de Sergipe. Membro efetivo do Grupo de Estudos em Economia Matemática e Finanças da Universidade Federal de Sergipe. </w:t>
      </w:r>
    </w:p>
    <w:p w:rsidR="00914815" w:rsidRDefault="00914815" w:rsidP="00914815">
      <w:pPr>
        <w:spacing w:line="240" w:lineRule="auto"/>
        <w:jc w:val="both"/>
        <w:rPr>
          <w:rFonts w:cs="Times New Roman"/>
          <w:sz w:val="20"/>
          <w:szCs w:val="20"/>
          <w:shd w:val="clear" w:color="auto" w:fill="FFFFFF"/>
        </w:rPr>
      </w:pPr>
      <w:r>
        <w:rPr>
          <w:rStyle w:val="nfase"/>
          <w:rFonts w:cs="Times New Roman"/>
          <w:bCs/>
          <w:szCs w:val="24"/>
          <w:shd w:val="clear" w:color="auto" w:fill="FFFFFF"/>
        </w:rPr>
        <w:t>Endereço</w:t>
      </w:r>
      <w:r w:rsidRPr="00D45047">
        <w:rPr>
          <w:rStyle w:val="nfase"/>
          <w:rFonts w:cs="Times New Roman"/>
          <w:bCs/>
          <w:sz w:val="20"/>
          <w:szCs w:val="20"/>
          <w:shd w:val="clear" w:color="auto" w:fill="FFFFFF"/>
        </w:rPr>
        <w:t xml:space="preserve">: </w:t>
      </w:r>
      <w:r w:rsidRPr="00D45047">
        <w:rPr>
          <w:rFonts w:cs="Times New Roman"/>
          <w:sz w:val="20"/>
          <w:szCs w:val="20"/>
          <w:shd w:val="clear" w:color="auto" w:fill="FFFFFF"/>
        </w:rPr>
        <w:t>Universidade Federal de Sergipe, DEPARTAMENTO DE ECONOMIA.</w:t>
      </w:r>
      <w:r w:rsidRPr="00D45047">
        <w:rPr>
          <w:rStyle w:val="apple-converted-space"/>
          <w:rFonts w:cs="Times New Roman"/>
          <w:sz w:val="20"/>
          <w:szCs w:val="20"/>
          <w:shd w:val="clear" w:color="auto" w:fill="FFFFFF"/>
        </w:rPr>
        <w:t> </w:t>
      </w:r>
      <w:r w:rsidRPr="00D45047">
        <w:rPr>
          <w:rFonts w:cs="Times New Roman"/>
          <w:sz w:val="20"/>
          <w:szCs w:val="20"/>
          <w:shd w:val="clear" w:color="auto" w:fill="FFFFFF"/>
        </w:rPr>
        <w:t xml:space="preserve">AVENIDA MARECHAL RONDON, S/NJARDIM ROSA ELZE49100000 - São Cristóvão, SE </w:t>
      </w:r>
      <w:r>
        <w:rPr>
          <w:rFonts w:cs="Times New Roman"/>
          <w:sz w:val="20"/>
          <w:szCs w:val="20"/>
          <w:shd w:val="clear" w:color="auto" w:fill="FFFFFF"/>
        </w:rPr>
        <w:t>–</w:t>
      </w:r>
      <w:r w:rsidRPr="00D45047">
        <w:rPr>
          <w:rFonts w:cs="Times New Roman"/>
          <w:sz w:val="20"/>
          <w:szCs w:val="20"/>
          <w:shd w:val="clear" w:color="auto" w:fill="FFFFFF"/>
        </w:rPr>
        <w:t xml:space="preserve"> Brasil</w:t>
      </w:r>
      <w:r>
        <w:rPr>
          <w:rFonts w:cs="Times New Roman"/>
          <w:sz w:val="20"/>
          <w:szCs w:val="20"/>
          <w:shd w:val="clear" w:color="auto" w:fill="FFFFFF"/>
        </w:rPr>
        <w:t xml:space="preserve"> </w:t>
      </w:r>
      <w:r w:rsidRPr="00D45047">
        <w:rPr>
          <w:rFonts w:cs="Times New Roman"/>
          <w:sz w:val="20"/>
          <w:szCs w:val="20"/>
          <w:shd w:val="clear" w:color="auto" w:fill="FFFFFF"/>
        </w:rPr>
        <w:t>Telefone: (79) 32126774</w:t>
      </w:r>
      <w:r>
        <w:rPr>
          <w:rFonts w:cs="Times New Roman"/>
          <w:sz w:val="20"/>
          <w:szCs w:val="20"/>
          <w:shd w:val="clear" w:color="auto" w:fill="FFFFFF"/>
        </w:rPr>
        <w:t xml:space="preserve">. </w:t>
      </w:r>
      <w:proofErr w:type="spellStart"/>
      <w:r>
        <w:rPr>
          <w:rFonts w:cs="Times New Roman"/>
          <w:sz w:val="20"/>
          <w:szCs w:val="20"/>
          <w:shd w:val="clear" w:color="auto" w:fill="FFFFFF"/>
        </w:rPr>
        <w:t>Email</w:t>
      </w:r>
      <w:proofErr w:type="spellEnd"/>
      <w:r>
        <w:rPr>
          <w:rFonts w:cs="Times New Roman"/>
          <w:sz w:val="20"/>
          <w:szCs w:val="20"/>
          <w:shd w:val="clear" w:color="auto" w:fill="FFFFFF"/>
        </w:rPr>
        <w:t xml:space="preserve">: </w:t>
      </w:r>
      <w:hyperlink r:id="rId8" w:history="1">
        <w:r w:rsidRPr="001E04F6">
          <w:rPr>
            <w:rStyle w:val="Hyperlink"/>
            <w:rFonts w:cs="Times New Roman"/>
            <w:sz w:val="20"/>
            <w:szCs w:val="20"/>
            <w:shd w:val="clear" w:color="auto" w:fill="FFFFFF"/>
          </w:rPr>
          <w:t>tacitoaugusto@yahoo.com.br</w:t>
        </w:r>
      </w:hyperlink>
    </w:p>
    <w:p w:rsidR="00914815" w:rsidRDefault="00914815" w:rsidP="00605FA1">
      <w:pPr>
        <w:spacing w:line="240" w:lineRule="auto"/>
        <w:jc w:val="center"/>
        <w:rPr>
          <w:rStyle w:val="nfase"/>
          <w:rFonts w:cs="Times New Roman"/>
          <w:bCs/>
          <w:i w:val="0"/>
          <w:iCs w:val="0"/>
          <w:szCs w:val="24"/>
          <w:shd w:val="clear" w:color="auto" w:fill="FFFFFF"/>
        </w:rPr>
      </w:pPr>
    </w:p>
    <w:p w:rsidR="00605FA1" w:rsidRPr="00E92CEA" w:rsidRDefault="00605FA1" w:rsidP="00605FA1">
      <w:pPr>
        <w:spacing w:line="240" w:lineRule="auto"/>
        <w:jc w:val="center"/>
        <w:rPr>
          <w:rStyle w:val="nfase"/>
          <w:rFonts w:cs="Times New Roman"/>
          <w:b/>
          <w:bCs/>
          <w:i w:val="0"/>
          <w:iCs w:val="0"/>
          <w:szCs w:val="24"/>
          <w:shd w:val="clear" w:color="auto" w:fill="FFFFFF"/>
        </w:rPr>
      </w:pPr>
      <w:r>
        <w:rPr>
          <w:rStyle w:val="nfase"/>
          <w:rFonts w:cs="Times New Roman"/>
          <w:b/>
          <w:bCs/>
          <w:szCs w:val="24"/>
          <w:shd w:val="clear" w:color="auto" w:fill="FFFFFF"/>
        </w:rPr>
        <w:t xml:space="preserve">Dr. </w:t>
      </w:r>
      <w:r w:rsidR="007352F3">
        <w:rPr>
          <w:rStyle w:val="nfase"/>
          <w:rFonts w:cs="Times New Roman"/>
          <w:b/>
          <w:bCs/>
          <w:szCs w:val="24"/>
          <w:shd w:val="clear" w:color="auto" w:fill="FFFFFF"/>
        </w:rPr>
        <w:t>Wagner Nóbrega</w:t>
      </w:r>
    </w:p>
    <w:p w:rsidR="007352F3" w:rsidRDefault="007352F3" w:rsidP="00605FA1">
      <w:pPr>
        <w:spacing w:line="240" w:lineRule="auto"/>
        <w:jc w:val="both"/>
        <w:rPr>
          <w:rStyle w:val="nfase"/>
          <w:rFonts w:cs="Times New Roman"/>
          <w:bCs/>
          <w:szCs w:val="24"/>
          <w:shd w:val="clear" w:color="auto" w:fill="FFFFFF"/>
        </w:rPr>
      </w:pPr>
      <w:r w:rsidRPr="007352F3">
        <w:rPr>
          <w:rFonts w:cs="Times New Roman"/>
          <w:i/>
          <w:szCs w:val="24"/>
          <w:shd w:val="clear" w:color="auto" w:fill="FFFFFF"/>
        </w:rPr>
        <w:t>Bacharel em Ciências Econômicas pela Universidade Federal da Paraíba (1992), Mestre em Economia pela Universidade Federal da Paraíba (1997) e Doutor em Desenvolvimento Econômico pela Universidade Federal do Paraná (2007</w:t>
      </w:r>
      <w:r>
        <w:rPr>
          <w:rFonts w:ascii="Tahoma" w:hAnsi="Tahoma" w:cs="Tahoma"/>
          <w:color w:val="666666"/>
          <w:sz w:val="20"/>
          <w:szCs w:val="20"/>
          <w:shd w:val="clear" w:color="auto" w:fill="FFFFFF"/>
        </w:rPr>
        <w:t>)</w:t>
      </w:r>
      <w:r w:rsidR="00605FA1">
        <w:rPr>
          <w:rStyle w:val="nfase"/>
          <w:rFonts w:cs="Times New Roman"/>
          <w:bCs/>
          <w:szCs w:val="24"/>
          <w:shd w:val="clear" w:color="auto" w:fill="FFFFFF"/>
        </w:rPr>
        <w:t>. Professor efetivo do departamento de Economia da Universidade Federal de Sergipe</w:t>
      </w:r>
    </w:p>
    <w:p w:rsidR="00605FA1" w:rsidRDefault="00605FA1" w:rsidP="00605FA1">
      <w:pPr>
        <w:spacing w:line="240" w:lineRule="auto"/>
        <w:jc w:val="both"/>
        <w:rPr>
          <w:rFonts w:cs="Times New Roman"/>
          <w:sz w:val="20"/>
          <w:szCs w:val="20"/>
          <w:shd w:val="clear" w:color="auto" w:fill="FFFFFF"/>
        </w:rPr>
      </w:pPr>
      <w:r>
        <w:rPr>
          <w:rStyle w:val="nfase"/>
          <w:rFonts w:cs="Times New Roman"/>
          <w:bCs/>
          <w:szCs w:val="24"/>
          <w:shd w:val="clear" w:color="auto" w:fill="FFFFFF"/>
        </w:rPr>
        <w:t>Endereço</w:t>
      </w:r>
      <w:r w:rsidRPr="00D45047">
        <w:rPr>
          <w:rStyle w:val="nfase"/>
          <w:rFonts w:cs="Times New Roman"/>
          <w:bCs/>
          <w:sz w:val="20"/>
          <w:szCs w:val="20"/>
          <w:shd w:val="clear" w:color="auto" w:fill="FFFFFF"/>
        </w:rPr>
        <w:t xml:space="preserve">: </w:t>
      </w:r>
      <w:r w:rsidRPr="00D45047">
        <w:rPr>
          <w:rFonts w:cs="Times New Roman"/>
          <w:sz w:val="20"/>
          <w:szCs w:val="20"/>
          <w:shd w:val="clear" w:color="auto" w:fill="FFFFFF"/>
        </w:rPr>
        <w:t>Universidade Federal de Sergipe, DEPARTAMENTO DE ECONOMIA.</w:t>
      </w:r>
      <w:r w:rsidRPr="00D45047">
        <w:rPr>
          <w:rStyle w:val="apple-converted-space"/>
          <w:rFonts w:cs="Times New Roman"/>
          <w:sz w:val="20"/>
          <w:szCs w:val="20"/>
          <w:shd w:val="clear" w:color="auto" w:fill="FFFFFF"/>
        </w:rPr>
        <w:t> </w:t>
      </w:r>
      <w:r w:rsidRPr="00D45047">
        <w:rPr>
          <w:rFonts w:cs="Times New Roman"/>
          <w:sz w:val="20"/>
          <w:szCs w:val="20"/>
          <w:shd w:val="clear" w:color="auto" w:fill="FFFFFF"/>
        </w:rPr>
        <w:t xml:space="preserve">AVENIDA MARECHAL RONDON, S/NJARDIM ROSA ELZE49100000 - São Cristóvão, SE </w:t>
      </w:r>
      <w:r>
        <w:rPr>
          <w:rFonts w:cs="Times New Roman"/>
          <w:sz w:val="20"/>
          <w:szCs w:val="20"/>
          <w:shd w:val="clear" w:color="auto" w:fill="FFFFFF"/>
        </w:rPr>
        <w:t>–</w:t>
      </w:r>
      <w:r w:rsidRPr="00D45047">
        <w:rPr>
          <w:rFonts w:cs="Times New Roman"/>
          <w:sz w:val="20"/>
          <w:szCs w:val="20"/>
          <w:shd w:val="clear" w:color="auto" w:fill="FFFFFF"/>
        </w:rPr>
        <w:t xml:space="preserve"> Brasil</w:t>
      </w:r>
      <w:r>
        <w:rPr>
          <w:rFonts w:cs="Times New Roman"/>
          <w:sz w:val="20"/>
          <w:szCs w:val="20"/>
          <w:shd w:val="clear" w:color="auto" w:fill="FFFFFF"/>
        </w:rPr>
        <w:t xml:space="preserve"> </w:t>
      </w:r>
      <w:r w:rsidRPr="00D45047">
        <w:rPr>
          <w:rFonts w:cs="Times New Roman"/>
          <w:sz w:val="20"/>
          <w:szCs w:val="20"/>
          <w:shd w:val="clear" w:color="auto" w:fill="FFFFFF"/>
        </w:rPr>
        <w:t>Telefone: (79) 32126774</w:t>
      </w:r>
      <w:r>
        <w:rPr>
          <w:rFonts w:cs="Times New Roman"/>
          <w:sz w:val="20"/>
          <w:szCs w:val="20"/>
          <w:shd w:val="clear" w:color="auto" w:fill="FFFFFF"/>
        </w:rPr>
        <w:t xml:space="preserve">. </w:t>
      </w:r>
      <w:proofErr w:type="spellStart"/>
      <w:r>
        <w:rPr>
          <w:rFonts w:cs="Times New Roman"/>
          <w:sz w:val="20"/>
          <w:szCs w:val="20"/>
          <w:shd w:val="clear" w:color="auto" w:fill="FFFFFF"/>
        </w:rPr>
        <w:t>Email</w:t>
      </w:r>
      <w:proofErr w:type="spellEnd"/>
      <w:r>
        <w:rPr>
          <w:rFonts w:cs="Times New Roman"/>
          <w:sz w:val="20"/>
          <w:szCs w:val="20"/>
          <w:shd w:val="clear" w:color="auto" w:fill="FFFFFF"/>
        </w:rPr>
        <w:t xml:space="preserve">: </w:t>
      </w:r>
      <w:hyperlink r:id="rId9" w:history="1">
        <w:r w:rsidR="007352F3" w:rsidRPr="00A24474">
          <w:rPr>
            <w:rStyle w:val="Hyperlink"/>
            <w:rFonts w:cs="Times New Roman"/>
            <w:sz w:val="20"/>
            <w:szCs w:val="20"/>
            <w:shd w:val="clear" w:color="auto" w:fill="FFFFFF"/>
          </w:rPr>
          <w:t>wagnernobrega@yahoo.com.br</w:t>
        </w:r>
      </w:hyperlink>
    </w:p>
    <w:p w:rsidR="00605FA1" w:rsidRDefault="00605FA1" w:rsidP="00605FA1">
      <w:pPr>
        <w:spacing w:line="240" w:lineRule="auto"/>
        <w:jc w:val="both"/>
        <w:rPr>
          <w:rStyle w:val="nfase"/>
          <w:rFonts w:cs="Times New Roman"/>
          <w:bCs/>
          <w:i w:val="0"/>
          <w:iCs w:val="0"/>
          <w:szCs w:val="24"/>
          <w:shd w:val="clear" w:color="auto" w:fill="FFFFFF"/>
        </w:rPr>
      </w:pPr>
    </w:p>
    <w:p w:rsidR="00605FA1" w:rsidRDefault="00605FA1" w:rsidP="00605FA1">
      <w:pPr>
        <w:spacing w:line="240" w:lineRule="auto"/>
        <w:jc w:val="center"/>
        <w:rPr>
          <w:rStyle w:val="nfase"/>
          <w:rFonts w:cs="Times New Roman"/>
          <w:b/>
          <w:bCs/>
          <w:i w:val="0"/>
          <w:iCs w:val="0"/>
          <w:szCs w:val="24"/>
          <w:shd w:val="clear" w:color="auto" w:fill="FFFFFF"/>
        </w:rPr>
      </w:pPr>
      <w:r w:rsidRPr="00E92CEA">
        <w:rPr>
          <w:rStyle w:val="nfase"/>
          <w:rFonts w:cs="Times New Roman"/>
          <w:b/>
          <w:bCs/>
          <w:szCs w:val="24"/>
          <w:shd w:val="clear" w:color="auto" w:fill="FFFFFF"/>
        </w:rPr>
        <w:t>Luiz Eduardo Nascimento Figueiredo</w:t>
      </w:r>
    </w:p>
    <w:p w:rsidR="00605FA1" w:rsidRDefault="00605FA1" w:rsidP="00605FA1">
      <w:pPr>
        <w:spacing w:line="240" w:lineRule="auto"/>
        <w:rPr>
          <w:rStyle w:val="nfase"/>
          <w:rFonts w:cs="Times New Roman"/>
          <w:bCs/>
          <w:i w:val="0"/>
          <w:iCs w:val="0"/>
          <w:szCs w:val="24"/>
          <w:shd w:val="clear" w:color="auto" w:fill="FFFFFF"/>
        </w:rPr>
      </w:pPr>
      <w:r>
        <w:rPr>
          <w:rStyle w:val="nfase"/>
          <w:rFonts w:cs="Times New Roman"/>
          <w:bCs/>
          <w:szCs w:val="24"/>
          <w:shd w:val="clear" w:color="auto" w:fill="FFFFFF"/>
        </w:rPr>
        <w:t>Mestrando em Economia PIMES/UFPE. Membro efetivo do Grupo de Estudos em Economia Matemática da Universidade Federal de Sergipe. Membro efetivo do Grupo de Apoio a Gestão Econômico-Integrada da Universidade Federal de Pernambuco.</w:t>
      </w:r>
    </w:p>
    <w:p w:rsidR="00605FA1" w:rsidRDefault="00605FA1" w:rsidP="00605FA1">
      <w:pPr>
        <w:spacing w:line="240" w:lineRule="auto"/>
        <w:rPr>
          <w:rFonts w:cs="Times New Roman"/>
          <w:sz w:val="20"/>
          <w:szCs w:val="20"/>
          <w:shd w:val="clear" w:color="auto" w:fill="FFFFFF"/>
        </w:rPr>
      </w:pPr>
      <w:r>
        <w:rPr>
          <w:rStyle w:val="nfase"/>
          <w:rFonts w:cs="Times New Roman"/>
          <w:bCs/>
          <w:szCs w:val="24"/>
          <w:shd w:val="clear" w:color="auto" w:fill="FFFFFF"/>
        </w:rPr>
        <w:t xml:space="preserve">Endereço: </w:t>
      </w:r>
      <w:r w:rsidRPr="00D45047">
        <w:rPr>
          <w:rFonts w:cs="Times New Roman"/>
          <w:sz w:val="20"/>
          <w:szCs w:val="20"/>
          <w:shd w:val="clear" w:color="auto" w:fill="FFFFFF"/>
        </w:rPr>
        <w:t>Universidade Federal de Sergipe, DEPARTAMENTO DE ECONOMIA.</w:t>
      </w:r>
      <w:r w:rsidRPr="00D45047">
        <w:rPr>
          <w:rStyle w:val="apple-converted-space"/>
          <w:rFonts w:cs="Times New Roman"/>
          <w:sz w:val="20"/>
          <w:szCs w:val="20"/>
          <w:shd w:val="clear" w:color="auto" w:fill="FFFFFF"/>
        </w:rPr>
        <w:t> </w:t>
      </w:r>
      <w:r w:rsidRPr="00D45047">
        <w:rPr>
          <w:rFonts w:cs="Times New Roman"/>
          <w:sz w:val="20"/>
          <w:szCs w:val="20"/>
          <w:shd w:val="clear" w:color="auto" w:fill="FFFFFF"/>
        </w:rPr>
        <w:t xml:space="preserve">AVENIDA MARECHAL RONDON, S/NJARDIM ROSA ELZE49100000 - São Cristóvão, SE </w:t>
      </w:r>
      <w:r>
        <w:rPr>
          <w:rFonts w:cs="Times New Roman"/>
          <w:sz w:val="20"/>
          <w:szCs w:val="20"/>
          <w:shd w:val="clear" w:color="auto" w:fill="FFFFFF"/>
        </w:rPr>
        <w:t>–</w:t>
      </w:r>
      <w:r w:rsidRPr="00D45047">
        <w:rPr>
          <w:rFonts w:cs="Times New Roman"/>
          <w:sz w:val="20"/>
          <w:szCs w:val="20"/>
          <w:shd w:val="clear" w:color="auto" w:fill="FFFFFF"/>
        </w:rPr>
        <w:t xml:space="preserve"> Brasil</w:t>
      </w:r>
      <w:r>
        <w:rPr>
          <w:rFonts w:cs="Times New Roman"/>
          <w:sz w:val="20"/>
          <w:szCs w:val="20"/>
          <w:shd w:val="clear" w:color="auto" w:fill="FFFFFF"/>
        </w:rPr>
        <w:t xml:space="preserve"> </w:t>
      </w:r>
      <w:r w:rsidRPr="00D45047">
        <w:rPr>
          <w:rFonts w:cs="Times New Roman"/>
          <w:sz w:val="20"/>
          <w:szCs w:val="20"/>
          <w:shd w:val="clear" w:color="auto" w:fill="FFFFFF"/>
        </w:rPr>
        <w:t xml:space="preserve">Telefone: (79) </w:t>
      </w:r>
      <w:r>
        <w:rPr>
          <w:rFonts w:cs="Times New Roman"/>
          <w:sz w:val="20"/>
          <w:szCs w:val="20"/>
          <w:shd w:val="clear" w:color="auto" w:fill="FFFFFF"/>
        </w:rPr>
        <w:t xml:space="preserve">99425730. </w:t>
      </w:r>
      <w:proofErr w:type="spellStart"/>
      <w:r>
        <w:rPr>
          <w:rFonts w:cs="Times New Roman"/>
          <w:sz w:val="20"/>
          <w:szCs w:val="20"/>
          <w:shd w:val="clear" w:color="auto" w:fill="FFFFFF"/>
        </w:rPr>
        <w:t>Email</w:t>
      </w:r>
      <w:proofErr w:type="spellEnd"/>
      <w:r>
        <w:rPr>
          <w:rFonts w:cs="Times New Roman"/>
          <w:sz w:val="20"/>
          <w:szCs w:val="20"/>
          <w:shd w:val="clear" w:color="auto" w:fill="FFFFFF"/>
        </w:rPr>
        <w:t xml:space="preserve">: </w:t>
      </w:r>
      <w:hyperlink r:id="rId10" w:history="1">
        <w:r w:rsidRPr="001E04F6">
          <w:rPr>
            <w:rStyle w:val="Hyperlink"/>
            <w:rFonts w:cs="Times New Roman"/>
            <w:sz w:val="20"/>
            <w:szCs w:val="20"/>
            <w:shd w:val="clear" w:color="auto" w:fill="FFFFFF"/>
          </w:rPr>
          <w:t>lenfigueiredo@yahoo.com.br</w:t>
        </w:r>
      </w:hyperlink>
    </w:p>
    <w:p w:rsidR="00605FA1" w:rsidRDefault="00605FA1" w:rsidP="00605FA1">
      <w:pPr>
        <w:spacing w:line="240" w:lineRule="auto"/>
        <w:rPr>
          <w:rStyle w:val="nfase"/>
          <w:rFonts w:cs="Times New Roman"/>
          <w:bCs/>
          <w:i w:val="0"/>
          <w:iCs w:val="0"/>
          <w:szCs w:val="24"/>
          <w:shd w:val="clear" w:color="auto" w:fill="FFFFFF"/>
        </w:rPr>
      </w:pPr>
    </w:p>
    <w:p w:rsidR="00605FA1" w:rsidRDefault="007352F3" w:rsidP="00605FA1">
      <w:pPr>
        <w:spacing w:line="240" w:lineRule="auto"/>
        <w:jc w:val="center"/>
        <w:rPr>
          <w:rStyle w:val="nfase"/>
          <w:rFonts w:cs="Times New Roman"/>
          <w:b/>
          <w:bCs/>
          <w:i w:val="0"/>
          <w:iCs w:val="0"/>
          <w:szCs w:val="24"/>
          <w:shd w:val="clear" w:color="auto" w:fill="FFFFFF"/>
        </w:rPr>
      </w:pPr>
      <w:r>
        <w:rPr>
          <w:rStyle w:val="nfase"/>
          <w:rFonts w:cs="Times New Roman"/>
          <w:b/>
          <w:bCs/>
          <w:szCs w:val="24"/>
          <w:shd w:val="clear" w:color="auto" w:fill="FFFFFF"/>
        </w:rPr>
        <w:t>José Henrique Santos</w:t>
      </w:r>
      <w:r w:rsidR="00A876A5">
        <w:rPr>
          <w:rStyle w:val="nfase"/>
          <w:rFonts w:cs="Times New Roman"/>
          <w:b/>
          <w:bCs/>
          <w:szCs w:val="24"/>
          <w:shd w:val="clear" w:color="auto" w:fill="FFFFFF"/>
        </w:rPr>
        <w:t xml:space="preserve"> </w:t>
      </w:r>
      <w:r>
        <w:rPr>
          <w:rStyle w:val="nfase"/>
          <w:rFonts w:cs="Times New Roman"/>
          <w:b/>
          <w:bCs/>
          <w:szCs w:val="24"/>
          <w:shd w:val="clear" w:color="auto" w:fill="FFFFFF"/>
        </w:rPr>
        <w:t>Rodrigues</w:t>
      </w:r>
    </w:p>
    <w:p w:rsidR="00605FA1" w:rsidRPr="00D45047" w:rsidRDefault="007352F3" w:rsidP="00605FA1">
      <w:pPr>
        <w:spacing w:line="240" w:lineRule="auto"/>
        <w:rPr>
          <w:rStyle w:val="nfase"/>
          <w:rFonts w:cs="Times New Roman"/>
          <w:bCs/>
          <w:i w:val="0"/>
          <w:iCs w:val="0"/>
          <w:szCs w:val="24"/>
          <w:shd w:val="clear" w:color="auto" w:fill="FFFFFF"/>
        </w:rPr>
      </w:pPr>
      <w:r>
        <w:rPr>
          <w:rStyle w:val="nfase"/>
          <w:rFonts w:cs="Times New Roman"/>
          <w:bCs/>
          <w:szCs w:val="24"/>
          <w:shd w:val="clear" w:color="auto" w:fill="FFFFFF"/>
        </w:rPr>
        <w:t>Graduado</w:t>
      </w:r>
      <w:r w:rsidR="00605FA1">
        <w:rPr>
          <w:rStyle w:val="nfase"/>
          <w:rFonts w:cs="Times New Roman"/>
          <w:bCs/>
          <w:szCs w:val="24"/>
          <w:shd w:val="clear" w:color="auto" w:fill="FFFFFF"/>
        </w:rPr>
        <w:t xml:space="preserve"> em Economia </w:t>
      </w:r>
      <w:r>
        <w:rPr>
          <w:rStyle w:val="nfase"/>
          <w:rFonts w:cs="Times New Roman"/>
          <w:bCs/>
          <w:szCs w:val="24"/>
          <w:shd w:val="clear" w:color="auto" w:fill="FFFFFF"/>
        </w:rPr>
        <w:t>pela Universidade Federal de Sergipe</w:t>
      </w:r>
      <w:r w:rsidR="00605FA1">
        <w:rPr>
          <w:rStyle w:val="nfase"/>
          <w:rFonts w:cs="Times New Roman"/>
          <w:bCs/>
          <w:szCs w:val="24"/>
          <w:shd w:val="clear" w:color="auto" w:fill="FFFFFF"/>
        </w:rPr>
        <w:t xml:space="preserve">. </w:t>
      </w:r>
    </w:p>
    <w:p w:rsidR="00605FA1" w:rsidRDefault="00605FA1" w:rsidP="00605FA1">
      <w:pPr>
        <w:spacing w:line="240" w:lineRule="auto"/>
        <w:jc w:val="both"/>
        <w:rPr>
          <w:rStyle w:val="nfase"/>
          <w:rFonts w:cs="Times New Roman"/>
          <w:bCs/>
          <w:i w:val="0"/>
          <w:iCs w:val="0"/>
          <w:szCs w:val="24"/>
          <w:shd w:val="clear" w:color="auto" w:fill="FFFFFF"/>
        </w:rPr>
      </w:pPr>
    </w:p>
    <w:p w:rsidR="00605FA1" w:rsidRDefault="00605FA1" w:rsidP="00605FA1">
      <w:pPr>
        <w:spacing w:line="240" w:lineRule="auto"/>
        <w:jc w:val="both"/>
        <w:rPr>
          <w:rStyle w:val="nfase"/>
          <w:rFonts w:cs="Times New Roman"/>
          <w:bCs/>
          <w:i w:val="0"/>
          <w:iCs w:val="0"/>
          <w:szCs w:val="24"/>
          <w:shd w:val="clear" w:color="auto" w:fill="FFFFFF"/>
        </w:rPr>
      </w:pPr>
      <w:r>
        <w:rPr>
          <w:rStyle w:val="nfase"/>
          <w:rFonts w:cs="Times New Roman"/>
          <w:b/>
          <w:bCs/>
          <w:szCs w:val="24"/>
          <w:shd w:val="clear" w:color="auto" w:fill="FFFFFF"/>
        </w:rPr>
        <w:t xml:space="preserve">Área de interesse: </w:t>
      </w:r>
      <w:r w:rsidR="007352F3">
        <w:rPr>
          <w:rStyle w:val="nfase"/>
          <w:rFonts w:cs="Times New Roman"/>
          <w:bCs/>
          <w:szCs w:val="24"/>
          <w:shd w:val="clear" w:color="auto" w:fill="FFFFFF"/>
        </w:rPr>
        <w:t xml:space="preserve">Área </w:t>
      </w:r>
      <w:proofErr w:type="gramStart"/>
      <w:r w:rsidR="007352F3">
        <w:rPr>
          <w:rStyle w:val="nfase"/>
          <w:rFonts w:cs="Times New Roman"/>
          <w:bCs/>
          <w:szCs w:val="24"/>
          <w:shd w:val="clear" w:color="auto" w:fill="FFFFFF"/>
        </w:rPr>
        <w:t>2</w:t>
      </w:r>
      <w:proofErr w:type="gramEnd"/>
      <w:r w:rsidR="007352F3">
        <w:rPr>
          <w:rStyle w:val="nfase"/>
          <w:rFonts w:cs="Times New Roman"/>
          <w:bCs/>
          <w:szCs w:val="24"/>
          <w:shd w:val="clear" w:color="auto" w:fill="FFFFFF"/>
        </w:rPr>
        <w:t>.  Economia Regional</w:t>
      </w:r>
      <w:r w:rsidR="00A34631">
        <w:rPr>
          <w:rStyle w:val="nfase"/>
          <w:rFonts w:cs="Times New Roman"/>
          <w:bCs/>
          <w:szCs w:val="24"/>
          <w:shd w:val="clear" w:color="auto" w:fill="FFFFFF"/>
        </w:rPr>
        <w:t>.</w:t>
      </w:r>
    </w:p>
    <w:p w:rsidR="001A4CCB" w:rsidRDefault="001A4CCB" w:rsidP="001A4CCB">
      <w:pPr>
        <w:ind w:left="708"/>
        <w:jc w:val="both"/>
      </w:pPr>
    </w:p>
    <w:p w:rsidR="00605FA1" w:rsidRDefault="00605FA1" w:rsidP="001A4CCB">
      <w:pPr>
        <w:ind w:left="708"/>
        <w:jc w:val="both"/>
      </w:pPr>
    </w:p>
    <w:p w:rsidR="00605FA1" w:rsidRDefault="00605FA1" w:rsidP="00605FA1">
      <w:pPr>
        <w:jc w:val="both"/>
      </w:pPr>
    </w:p>
    <w:p w:rsidR="00605FA1" w:rsidRPr="00DB4A68" w:rsidRDefault="00605FA1" w:rsidP="00605FA1">
      <w:pPr>
        <w:jc w:val="center"/>
      </w:pPr>
    </w:p>
    <w:p w:rsidR="00605FA1" w:rsidRDefault="00605FA1" w:rsidP="00605FA1">
      <w:pPr>
        <w:spacing w:line="240" w:lineRule="auto"/>
        <w:jc w:val="center"/>
        <w:rPr>
          <w:b/>
        </w:rPr>
      </w:pPr>
      <w:r w:rsidRPr="00DB4A68">
        <w:rPr>
          <w:b/>
        </w:rPr>
        <w:t xml:space="preserve">IDENTIFICAÇÃO DA MULTA DA POBREZA NOS ESTRATOS </w:t>
      </w:r>
      <w:r w:rsidR="00CA4528">
        <w:rPr>
          <w:b/>
        </w:rPr>
        <w:t xml:space="preserve">RURAL </w:t>
      </w:r>
      <w:r w:rsidRPr="00DB4A68">
        <w:rPr>
          <w:b/>
        </w:rPr>
        <w:t>URBANO E CAPITAL DO ESTADO DE SERGIPE</w:t>
      </w:r>
      <w:r w:rsidR="00CA4528">
        <w:rPr>
          <w:b/>
        </w:rPr>
        <w:t>: UM ESTUDO APLICANDO AS IDÉIAS DE PRAHALAD</w:t>
      </w:r>
      <w:bookmarkStart w:id="0" w:name="_GoBack"/>
      <w:bookmarkEnd w:id="0"/>
      <w:r w:rsidRPr="00DB4A68">
        <w:rPr>
          <w:b/>
        </w:rPr>
        <w:t>.</w:t>
      </w:r>
    </w:p>
    <w:p w:rsidR="00605FA1" w:rsidRDefault="00605FA1" w:rsidP="001A4CCB">
      <w:pPr>
        <w:ind w:left="708"/>
        <w:jc w:val="both"/>
      </w:pPr>
    </w:p>
    <w:p w:rsidR="00605FA1" w:rsidRDefault="00605FA1" w:rsidP="001A4CCB">
      <w:pPr>
        <w:ind w:left="708"/>
        <w:jc w:val="both"/>
      </w:pPr>
    </w:p>
    <w:p w:rsidR="00605FA1" w:rsidRDefault="00605FA1" w:rsidP="001A4CCB">
      <w:pPr>
        <w:ind w:left="708"/>
        <w:jc w:val="both"/>
      </w:pPr>
    </w:p>
    <w:p w:rsidR="00605FA1" w:rsidRDefault="00605FA1" w:rsidP="001A4CCB">
      <w:pPr>
        <w:ind w:left="708"/>
        <w:jc w:val="both"/>
      </w:pPr>
    </w:p>
    <w:p w:rsidR="000744EC" w:rsidRPr="002B0134" w:rsidRDefault="002B0134" w:rsidP="007B702C">
      <w:pPr>
        <w:jc w:val="both"/>
        <w:rPr>
          <w:b/>
        </w:rPr>
      </w:pPr>
      <w:r>
        <w:rPr>
          <w:b/>
        </w:rPr>
        <w:t>RESUMO</w:t>
      </w:r>
    </w:p>
    <w:p w:rsidR="000744EC" w:rsidRPr="00DB4A68" w:rsidRDefault="00D8172D" w:rsidP="007B702C">
      <w:pPr>
        <w:jc w:val="both"/>
      </w:pPr>
      <w:r>
        <w:t>O presente artigo</w:t>
      </w:r>
      <w:r w:rsidR="000744EC" w:rsidRPr="00DB4A68">
        <w:t xml:space="preserve"> tem como objetivo </w:t>
      </w:r>
      <w:r>
        <w:t>observar</w:t>
      </w:r>
      <w:r w:rsidR="000744EC" w:rsidRPr="00DB4A68">
        <w:t xml:space="preserve"> a existência e as formas de atuação da multa da pobreza nos estratos Capital, Rural e Urbano do estado de Sergipe, a partir dos dados da Pesquisa de Orçamento Familiar do IBGE para os anos de 2002-2003 e 2008-2009. O conceito de multa da pobreza é oriundo do trabalho de </w:t>
      </w:r>
      <w:proofErr w:type="spellStart"/>
      <w:r w:rsidR="000744EC" w:rsidRPr="00DB4A68">
        <w:t>Caplovitz</w:t>
      </w:r>
      <w:proofErr w:type="spellEnd"/>
      <w:r w:rsidR="000744EC" w:rsidRPr="00DB4A68">
        <w:t xml:space="preserve"> (1963), e representa as barreiras ao consumo enfrentadas pelas famílias pobres ao assumirem custos maiores do que as famílias não pobres. Como meio de análise foram usados indicadores </w:t>
      </w:r>
      <w:r>
        <w:t>definidos por</w:t>
      </w:r>
      <w:r w:rsidR="000744EC" w:rsidRPr="00DB4A68">
        <w:t xml:space="preserve"> </w:t>
      </w:r>
      <w:proofErr w:type="spellStart"/>
      <w:r w:rsidR="000744EC" w:rsidRPr="00DB4A68">
        <w:t>Prahalad</w:t>
      </w:r>
      <w:proofErr w:type="spellEnd"/>
      <w:r w:rsidR="000744EC" w:rsidRPr="00DB4A68">
        <w:t xml:space="preserve"> (2005), </w:t>
      </w:r>
      <w:r>
        <w:t xml:space="preserve">comparando </w:t>
      </w:r>
      <w:r w:rsidR="000744EC" w:rsidRPr="00DB4A68">
        <w:t xml:space="preserve">as despesas com alimentação e os diferentes grupos de despesas em geral. </w:t>
      </w:r>
      <w:r>
        <w:t>Para isso</w:t>
      </w:r>
      <w:r w:rsidR="000744EC" w:rsidRPr="00DB4A68">
        <w:t>, foram usados</w:t>
      </w:r>
      <w:r w:rsidR="000744EC">
        <w:t xml:space="preserve"> os</w:t>
      </w:r>
      <w:r w:rsidR="000744EC" w:rsidRPr="00DB4A68">
        <w:t xml:space="preserve"> preços relativos como instrumento</w:t>
      </w:r>
      <w:r>
        <w:t>s. Os resultados obtidos indicam e confirmam</w:t>
      </w:r>
      <w:r w:rsidR="000744EC" w:rsidRPr="00DB4A68">
        <w:t xml:space="preserve"> a existência da multa da pobreza em todos </w:t>
      </w:r>
      <w:r w:rsidR="000744EC">
        <w:t>os três estratos</w:t>
      </w:r>
      <w:r w:rsidR="000744EC" w:rsidRPr="00DB4A68">
        <w:t>.</w:t>
      </w:r>
    </w:p>
    <w:p w:rsidR="000744EC" w:rsidRDefault="000744EC" w:rsidP="007B702C">
      <w:pPr>
        <w:jc w:val="both"/>
      </w:pPr>
      <w:r w:rsidRPr="00DB4A68">
        <w:rPr>
          <w:b/>
        </w:rPr>
        <w:t xml:space="preserve">Palavras chave: </w:t>
      </w:r>
      <w:r w:rsidRPr="00DB4A68">
        <w:t>Pobreza. Multa da pobreza. Despesas com alimentação. Despesas orçamentárias domiciliares.</w:t>
      </w:r>
    </w:p>
    <w:p w:rsidR="000744EC" w:rsidRDefault="000744EC" w:rsidP="007B702C">
      <w:pPr>
        <w:contextualSpacing/>
        <w:jc w:val="both"/>
        <w:rPr>
          <w:b/>
        </w:rPr>
      </w:pPr>
    </w:p>
    <w:p w:rsidR="001A4CCB" w:rsidRDefault="001A4CCB" w:rsidP="007B702C">
      <w:pPr>
        <w:contextualSpacing/>
        <w:jc w:val="both"/>
        <w:rPr>
          <w:b/>
        </w:rPr>
      </w:pPr>
    </w:p>
    <w:p w:rsidR="001A4CCB" w:rsidRDefault="001A4CCB" w:rsidP="007B702C">
      <w:pPr>
        <w:contextualSpacing/>
        <w:jc w:val="both"/>
        <w:rPr>
          <w:b/>
        </w:rPr>
      </w:pPr>
    </w:p>
    <w:p w:rsidR="001A4CCB" w:rsidRDefault="001A4CCB" w:rsidP="007B702C">
      <w:pPr>
        <w:contextualSpacing/>
        <w:jc w:val="both"/>
        <w:rPr>
          <w:b/>
        </w:rPr>
      </w:pPr>
    </w:p>
    <w:p w:rsidR="001A4CCB" w:rsidRDefault="001A4CCB" w:rsidP="007B702C">
      <w:pPr>
        <w:contextualSpacing/>
        <w:jc w:val="both"/>
        <w:rPr>
          <w:b/>
        </w:rPr>
      </w:pPr>
    </w:p>
    <w:p w:rsidR="001A4CCB" w:rsidRDefault="001A4CCB" w:rsidP="007B702C">
      <w:pPr>
        <w:contextualSpacing/>
        <w:jc w:val="both"/>
        <w:rPr>
          <w:b/>
        </w:rPr>
      </w:pPr>
    </w:p>
    <w:p w:rsidR="001A4CCB" w:rsidRDefault="001A4CCB" w:rsidP="007B702C">
      <w:pPr>
        <w:contextualSpacing/>
        <w:jc w:val="both"/>
        <w:rPr>
          <w:b/>
        </w:rPr>
      </w:pPr>
    </w:p>
    <w:p w:rsidR="00605FA1" w:rsidRDefault="00605FA1" w:rsidP="007B702C">
      <w:pPr>
        <w:contextualSpacing/>
        <w:jc w:val="both"/>
        <w:rPr>
          <w:b/>
        </w:rPr>
      </w:pPr>
    </w:p>
    <w:p w:rsidR="00605FA1" w:rsidRDefault="00605FA1" w:rsidP="007B702C">
      <w:pPr>
        <w:contextualSpacing/>
        <w:jc w:val="both"/>
        <w:rPr>
          <w:b/>
        </w:rPr>
      </w:pPr>
    </w:p>
    <w:p w:rsidR="00605FA1" w:rsidRDefault="00605FA1" w:rsidP="007B702C">
      <w:pPr>
        <w:contextualSpacing/>
        <w:jc w:val="both"/>
        <w:rPr>
          <w:b/>
        </w:rPr>
      </w:pPr>
    </w:p>
    <w:p w:rsidR="00605FA1" w:rsidRDefault="00605FA1" w:rsidP="007B702C">
      <w:pPr>
        <w:contextualSpacing/>
        <w:jc w:val="both"/>
        <w:rPr>
          <w:b/>
        </w:rPr>
      </w:pPr>
    </w:p>
    <w:p w:rsidR="000744EC" w:rsidRPr="000E2D46" w:rsidRDefault="000744EC" w:rsidP="000E2D46">
      <w:pPr>
        <w:pStyle w:val="PargrafodaLista"/>
        <w:numPr>
          <w:ilvl w:val="0"/>
          <w:numId w:val="1"/>
        </w:numPr>
        <w:jc w:val="both"/>
        <w:rPr>
          <w:b/>
        </w:rPr>
      </w:pPr>
      <w:r w:rsidRPr="000E2D46">
        <w:rPr>
          <w:b/>
        </w:rPr>
        <w:t>INTRODUÇÃO</w:t>
      </w:r>
    </w:p>
    <w:p w:rsidR="00D8172D" w:rsidRPr="00DB4A68" w:rsidRDefault="00D8172D" w:rsidP="00D8172D">
      <w:pPr>
        <w:ind w:firstLine="708"/>
        <w:contextualSpacing/>
        <w:jc w:val="both"/>
        <w:rPr>
          <w:rFonts w:cs="Times New Roman"/>
          <w:szCs w:val="24"/>
        </w:rPr>
      </w:pPr>
      <w:r w:rsidRPr="00DB4A68">
        <w:rPr>
          <w:rFonts w:cs="Times New Roman"/>
          <w:szCs w:val="24"/>
        </w:rPr>
        <w:t xml:space="preserve">O conceito de “multa da pobreza” tem sua origem no livro “The </w:t>
      </w:r>
      <w:proofErr w:type="spellStart"/>
      <w:r w:rsidRPr="00DB4A68">
        <w:rPr>
          <w:rFonts w:cs="Times New Roman"/>
          <w:szCs w:val="24"/>
        </w:rPr>
        <w:t>Poor</w:t>
      </w:r>
      <w:proofErr w:type="spellEnd"/>
      <w:r w:rsidRPr="00DB4A68">
        <w:rPr>
          <w:rFonts w:cs="Times New Roman"/>
          <w:szCs w:val="24"/>
        </w:rPr>
        <w:t xml:space="preserve"> </w:t>
      </w:r>
      <w:proofErr w:type="spellStart"/>
      <w:r w:rsidRPr="00DB4A68">
        <w:rPr>
          <w:rFonts w:cs="Times New Roman"/>
          <w:szCs w:val="24"/>
        </w:rPr>
        <w:t>Pay</w:t>
      </w:r>
      <w:proofErr w:type="spellEnd"/>
      <w:r w:rsidRPr="00DB4A68">
        <w:rPr>
          <w:rFonts w:cs="Times New Roman"/>
          <w:szCs w:val="24"/>
        </w:rPr>
        <w:t xml:space="preserve"> More”, de David </w:t>
      </w:r>
      <w:proofErr w:type="spellStart"/>
      <w:r w:rsidRPr="00DB4A68">
        <w:rPr>
          <w:rFonts w:cs="Times New Roman"/>
          <w:szCs w:val="24"/>
        </w:rPr>
        <w:t>Caplovitz</w:t>
      </w:r>
      <w:proofErr w:type="spellEnd"/>
      <w:r w:rsidRPr="00DB4A68">
        <w:rPr>
          <w:rFonts w:cs="Times New Roman"/>
          <w:szCs w:val="24"/>
        </w:rPr>
        <w:t xml:space="preserve"> (1963), um estudo sociológico, no qual o autor percebe que os gastos</w:t>
      </w:r>
      <w:r>
        <w:rPr>
          <w:rFonts w:cs="Times New Roman"/>
          <w:szCs w:val="24"/>
        </w:rPr>
        <w:t xml:space="preserve"> com alimentos,</w:t>
      </w:r>
      <w:r w:rsidRPr="00DB4A68">
        <w:rPr>
          <w:rFonts w:cs="Times New Roman"/>
          <w:szCs w:val="24"/>
        </w:rPr>
        <w:t xml:space="preserve"> que as famílias </w:t>
      </w:r>
      <w:r>
        <w:rPr>
          <w:rFonts w:cs="Times New Roman"/>
          <w:szCs w:val="24"/>
        </w:rPr>
        <w:t>de baixa renda</w:t>
      </w:r>
      <w:r w:rsidRPr="00DB4A68">
        <w:rPr>
          <w:rFonts w:cs="Times New Roman"/>
          <w:szCs w:val="24"/>
        </w:rPr>
        <w:t xml:space="preserve"> de Nova York </w:t>
      </w:r>
      <w:proofErr w:type="spellStart"/>
      <w:r>
        <w:rPr>
          <w:rFonts w:cs="Times New Roman"/>
          <w:szCs w:val="24"/>
        </w:rPr>
        <w:t>possuiam</w:t>
      </w:r>
      <w:proofErr w:type="spellEnd"/>
      <w:r>
        <w:rPr>
          <w:rFonts w:cs="Times New Roman"/>
          <w:szCs w:val="24"/>
        </w:rPr>
        <w:t>,</w:t>
      </w:r>
      <w:r w:rsidRPr="00DB4A68">
        <w:rPr>
          <w:rFonts w:cs="Times New Roman"/>
          <w:szCs w:val="24"/>
        </w:rPr>
        <w:t xml:space="preserve"> eram </w:t>
      </w:r>
      <w:r>
        <w:rPr>
          <w:rFonts w:cs="Times New Roman"/>
          <w:szCs w:val="24"/>
        </w:rPr>
        <w:t>superiores</w:t>
      </w:r>
      <w:r w:rsidRPr="00DB4A68">
        <w:rPr>
          <w:rFonts w:cs="Times New Roman"/>
          <w:szCs w:val="24"/>
        </w:rPr>
        <w:t xml:space="preserve"> </w:t>
      </w:r>
      <w:r>
        <w:rPr>
          <w:rFonts w:cs="Times New Roman"/>
          <w:szCs w:val="24"/>
        </w:rPr>
        <w:t>aos apresentados pelas famílias com nível de renda maior</w:t>
      </w:r>
      <w:r w:rsidRPr="00DB4A68">
        <w:rPr>
          <w:rFonts w:cs="Times New Roman"/>
          <w:szCs w:val="24"/>
        </w:rPr>
        <w:t xml:space="preserve">. </w:t>
      </w:r>
    </w:p>
    <w:p w:rsidR="003C6078" w:rsidRDefault="00D8172D" w:rsidP="003C6078">
      <w:pPr>
        <w:ind w:firstLine="708"/>
        <w:contextualSpacing/>
        <w:jc w:val="both"/>
        <w:rPr>
          <w:rFonts w:cs="Times New Roman"/>
          <w:szCs w:val="24"/>
        </w:rPr>
      </w:pPr>
      <w:r w:rsidRPr="00DB4A68">
        <w:rPr>
          <w:rFonts w:cs="Times New Roman"/>
          <w:szCs w:val="24"/>
        </w:rPr>
        <w:t xml:space="preserve">De acordo com </w:t>
      </w:r>
      <w:proofErr w:type="spellStart"/>
      <w:r w:rsidRPr="00DB4A68">
        <w:rPr>
          <w:rFonts w:cs="Times New Roman"/>
          <w:szCs w:val="24"/>
        </w:rPr>
        <w:t>Caplovitz</w:t>
      </w:r>
      <w:proofErr w:type="spellEnd"/>
      <w:r w:rsidRPr="00DB4A68">
        <w:rPr>
          <w:rFonts w:cs="Times New Roman"/>
          <w:szCs w:val="24"/>
        </w:rPr>
        <w:t xml:space="preserve"> (1963) as famílias consideradas pobres enfrentavam dificuldades relacionadas aos seus gastos com alimentação. </w:t>
      </w:r>
      <w:r>
        <w:rPr>
          <w:rFonts w:cs="Times New Roman"/>
          <w:szCs w:val="24"/>
        </w:rPr>
        <w:t>No comparativo entre o volume de consumo dessas famílias e o seu respectivo custo</w:t>
      </w:r>
      <w:r w:rsidRPr="00DB4A68">
        <w:rPr>
          <w:rFonts w:cs="Times New Roman"/>
          <w:szCs w:val="24"/>
        </w:rPr>
        <w:t xml:space="preserve"> </w:t>
      </w:r>
      <w:r>
        <w:rPr>
          <w:rFonts w:cs="Times New Roman"/>
          <w:szCs w:val="24"/>
        </w:rPr>
        <w:t xml:space="preserve">em </w:t>
      </w:r>
      <w:proofErr w:type="spellStart"/>
      <w:r>
        <w:rPr>
          <w:rFonts w:cs="Times New Roman"/>
          <w:szCs w:val="24"/>
        </w:rPr>
        <w:t>relaçãoas</w:t>
      </w:r>
      <w:proofErr w:type="spellEnd"/>
      <w:r w:rsidRPr="00DB4A68">
        <w:rPr>
          <w:rFonts w:cs="Times New Roman"/>
          <w:szCs w:val="24"/>
        </w:rPr>
        <w:t xml:space="preserve"> famílias ditas não pobres, foi observado que as primeiras se encontravam em desvantagem, muitas vezes pagando </w:t>
      </w:r>
      <w:r>
        <w:rPr>
          <w:rFonts w:cs="Times New Roman"/>
          <w:szCs w:val="24"/>
        </w:rPr>
        <w:t>preços superiores</w:t>
      </w:r>
      <w:r w:rsidRPr="00DB4A68">
        <w:rPr>
          <w:rFonts w:cs="Times New Roman"/>
          <w:szCs w:val="24"/>
        </w:rPr>
        <w:t xml:space="preserve"> pelo mesmo produto e quantidade, ou até mesmo</w:t>
      </w:r>
      <w:r w:rsidR="003C6078">
        <w:rPr>
          <w:rFonts w:cs="Times New Roman"/>
          <w:szCs w:val="24"/>
        </w:rPr>
        <w:t>,</w:t>
      </w:r>
      <w:r w:rsidRPr="00DB4A68">
        <w:rPr>
          <w:rFonts w:cs="Times New Roman"/>
          <w:szCs w:val="24"/>
        </w:rPr>
        <w:t xml:space="preserve"> por uma quantidade menor e/ou de qualidade inferior.</w:t>
      </w:r>
    </w:p>
    <w:p w:rsidR="003C6078" w:rsidRPr="00DB4A68" w:rsidRDefault="00D8172D" w:rsidP="003C6078">
      <w:pPr>
        <w:ind w:firstLine="708"/>
        <w:contextualSpacing/>
        <w:jc w:val="both"/>
        <w:rPr>
          <w:rFonts w:cs="Times New Roman"/>
          <w:szCs w:val="24"/>
        </w:rPr>
      </w:pPr>
      <w:r w:rsidRPr="00DB4A68">
        <w:rPr>
          <w:rFonts w:cs="Times New Roman"/>
          <w:szCs w:val="24"/>
        </w:rPr>
        <w:t xml:space="preserve"> </w:t>
      </w:r>
      <w:r w:rsidR="003C6078" w:rsidRPr="00DB4A68">
        <w:rPr>
          <w:rFonts w:cs="Times New Roman"/>
          <w:szCs w:val="24"/>
        </w:rPr>
        <w:t xml:space="preserve">Após o estudo pioneiro de David </w:t>
      </w:r>
      <w:proofErr w:type="spellStart"/>
      <w:r w:rsidR="003C6078" w:rsidRPr="00DB4A68">
        <w:rPr>
          <w:rFonts w:cs="Times New Roman"/>
          <w:szCs w:val="24"/>
        </w:rPr>
        <w:t>Caplovitz</w:t>
      </w:r>
      <w:proofErr w:type="spellEnd"/>
      <w:r w:rsidR="003C6078" w:rsidRPr="00DB4A68">
        <w:rPr>
          <w:rFonts w:cs="Times New Roman"/>
          <w:szCs w:val="24"/>
        </w:rPr>
        <w:t xml:space="preserve"> (1963), contribuíram com o conceito os autores </w:t>
      </w:r>
      <w:proofErr w:type="spellStart"/>
      <w:r w:rsidR="003C6078" w:rsidRPr="00DB4A68">
        <w:rPr>
          <w:rFonts w:cs="Times New Roman"/>
          <w:szCs w:val="24"/>
        </w:rPr>
        <w:t>Kunreuther</w:t>
      </w:r>
      <w:proofErr w:type="spellEnd"/>
      <w:r w:rsidR="003C6078" w:rsidRPr="00DB4A68">
        <w:rPr>
          <w:rFonts w:cs="Times New Roman"/>
          <w:szCs w:val="24"/>
        </w:rPr>
        <w:t xml:space="preserve"> (1973), C. K. </w:t>
      </w:r>
      <w:proofErr w:type="spellStart"/>
      <w:r w:rsidR="003C6078" w:rsidRPr="00DB4A68">
        <w:rPr>
          <w:rFonts w:cs="Times New Roman"/>
          <w:szCs w:val="24"/>
        </w:rPr>
        <w:t>Prahalad</w:t>
      </w:r>
      <w:proofErr w:type="spellEnd"/>
      <w:r w:rsidR="003C6078" w:rsidRPr="00DB4A68">
        <w:rPr>
          <w:rFonts w:cs="Times New Roman"/>
          <w:szCs w:val="24"/>
        </w:rPr>
        <w:t xml:space="preserve"> (2005), </w:t>
      </w:r>
      <w:proofErr w:type="spellStart"/>
      <w:r w:rsidR="003C6078" w:rsidRPr="00DB4A68">
        <w:rPr>
          <w:rFonts w:cs="Times New Roman"/>
          <w:szCs w:val="24"/>
        </w:rPr>
        <w:t>Hammond</w:t>
      </w:r>
      <w:proofErr w:type="spellEnd"/>
      <w:r w:rsidR="003C6078" w:rsidRPr="00DB4A68">
        <w:rPr>
          <w:rFonts w:cs="Times New Roman"/>
          <w:szCs w:val="24"/>
        </w:rPr>
        <w:t xml:space="preserve"> </w:t>
      </w:r>
      <w:proofErr w:type="gramStart"/>
      <w:r w:rsidR="003C6078" w:rsidRPr="00DB4A68">
        <w:rPr>
          <w:rFonts w:cs="Times New Roman"/>
          <w:i/>
          <w:szCs w:val="24"/>
        </w:rPr>
        <w:t>et</w:t>
      </w:r>
      <w:proofErr w:type="gramEnd"/>
      <w:r w:rsidR="003C6078" w:rsidRPr="00DB4A68">
        <w:rPr>
          <w:rFonts w:cs="Times New Roman"/>
          <w:i/>
          <w:szCs w:val="24"/>
        </w:rPr>
        <w:t xml:space="preserve"> al</w:t>
      </w:r>
      <w:r w:rsidR="003C6078" w:rsidRPr="00DB4A68">
        <w:rPr>
          <w:rFonts w:cs="Times New Roman"/>
          <w:szCs w:val="24"/>
        </w:rPr>
        <w:t>. (2007) e Mendoza (2011).</w:t>
      </w:r>
    </w:p>
    <w:p w:rsidR="003C6078" w:rsidRPr="00DB4A68" w:rsidRDefault="003C6078" w:rsidP="003C6078">
      <w:pPr>
        <w:ind w:firstLine="708"/>
        <w:contextualSpacing/>
        <w:jc w:val="both"/>
        <w:rPr>
          <w:rFonts w:cs="Times New Roman"/>
          <w:szCs w:val="24"/>
        </w:rPr>
      </w:pPr>
      <w:r w:rsidRPr="00DB4A68">
        <w:rPr>
          <w:rFonts w:cs="Times New Roman"/>
          <w:szCs w:val="24"/>
        </w:rPr>
        <w:t>A contribuição teóri</w:t>
      </w:r>
      <w:r>
        <w:rPr>
          <w:rFonts w:cs="Times New Roman"/>
          <w:szCs w:val="24"/>
        </w:rPr>
        <w:t xml:space="preserve">ca de </w:t>
      </w:r>
      <w:proofErr w:type="spellStart"/>
      <w:r>
        <w:rPr>
          <w:rFonts w:cs="Times New Roman"/>
          <w:szCs w:val="24"/>
        </w:rPr>
        <w:t>Kunreuther</w:t>
      </w:r>
      <w:proofErr w:type="spellEnd"/>
      <w:r>
        <w:rPr>
          <w:rFonts w:cs="Times New Roman"/>
          <w:szCs w:val="24"/>
        </w:rPr>
        <w:t xml:space="preserve"> (1973) consistiu</w:t>
      </w:r>
      <w:r w:rsidRPr="00DB4A68">
        <w:rPr>
          <w:rFonts w:cs="Times New Roman"/>
          <w:szCs w:val="24"/>
        </w:rPr>
        <w:t xml:space="preserve"> em apresentar um esquema explicativo de tomada de decisões dos compradores de comida na cidade de Nova York nos anos 1971, diante de diferentes tamanhos de pacotes de compras de mesmos itens. Empiricamente, o autor test</w:t>
      </w:r>
      <w:r>
        <w:rPr>
          <w:rFonts w:cs="Times New Roman"/>
          <w:szCs w:val="24"/>
        </w:rPr>
        <w:t>ou</w:t>
      </w:r>
      <w:r w:rsidRPr="00DB4A68">
        <w:rPr>
          <w:rFonts w:cs="Times New Roman"/>
          <w:szCs w:val="24"/>
        </w:rPr>
        <w:t xml:space="preserve"> esse esquema, com dados para a cidade de New Haven, no verão de 1971.</w:t>
      </w:r>
    </w:p>
    <w:p w:rsidR="003C6078" w:rsidRPr="00DB4A68" w:rsidRDefault="003C6078" w:rsidP="003C6078">
      <w:pPr>
        <w:ind w:firstLine="708"/>
        <w:contextualSpacing/>
        <w:jc w:val="both"/>
        <w:rPr>
          <w:rFonts w:cs="Times New Roman"/>
          <w:szCs w:val="24"/>
        </w:rPr>
      </w:pPr>
      <w:r w:rsidRPr="00DB4A68">
        <w:rPr>
          <w:rFonts w:cs="Times New Roman"/>
          <w:szCs w:val="24"/>
        </w:rPr>
        <w:t>Para construir suas hipóte</w:t>
      </w:r>
      <w:r>
        <w:rPr>
          <w:rFonts w:cs="Times New Roman"/>
          <w:szCs w:val="24"/>
        </w:rPr>
        <w:t xml:space="preserve">ses, </w:t>
      </w:r>
      <w:proofErr w:type="spellStart"/>
      <w:r>
        <w:rPr>
          <w:rFonts w:cs="Times New Roman"/>
          <w:szCs w:val="24"/>
        </w:rPr>
        <w:t>Kunreuther</w:t>
      </w:r>
      <w:proofErr w:type="spellEnd"/>
      <w:r>
        <w:rPr>
          <w:rFonts w:cs="Times New Roman"/>
          <w:szCs w:val="24"/>
        </w:rPr>
        <w:t xml:space="preserve"> (1973) distinguiu</w:t>
      </w:r>
      <w:r w:rsidRPr="00DB4A68">
        <w:rPr>
          <w:rFonts w:cs="Times New Roman"/>
          <w:szCs w:val="24"/>
        </w:rPr>
        <w:t xml:space="preserve"> entre “efeito tamanho da loja” e “efeito tamanho do pacote de alimento”. </w:t>
      </w:r>
      <w:r>
        <w:rPr>
          <w:rFonts w:cs="Times New Roman"/>
          <w:szCs w:val="24"/>
        </w:rPr>
        <w:t>No</w:t>
      </w:r>
      <w:r w:rsidRPr="00DB4A68">
        <w:rPr>
          <w:rFonts w:cs="Times New Roman"/>
          <w:szCs w:val="24"/>
        </w:rPr>
        <w:t xml:space="preserve"> primeiro</w:t>
      </w:r>
      <w:r>
        <w:rPr>
          <w:rFonts w:cs="Times New Roman"/>
          <w:szCs w:val="24"/>
        </w:rPr>
        <w:t>, considerou</w:t>
      </w:r>
      <w:r w:rsidRPr="00DB4A68">
        <w:rPr>
          <w:rFonts w:cs="Times New Roman"/>
          <w:szCs w:val="24"/>
        </w:rPr>
        <w:t xml:space="preserve"> itens de mesmo tamanho e qualidades pad</w:t>
      </w:r>
      <w:r>
        <w:rPr>
          <w:rFonts w:cs="Times New Roman"/>
          <w:szCs w:val="24"/>
        </w:rPr>
        <w:t>ronizadas. Assim, o autor sugeriu</w:t>
      </w:r>
      <w:r w:rsidRPr="00DB4A68">
        <w:rPr>
          <w:rFonts w:cs="Times New Roman"/>
          <w:szCs w:val="24"/>
        </w:rPr>
        <w:t xml:space="preserve"> que se </w:t>
      </w:r>
      <w:r w:rsidR="00ED44E7">
        <w:rPr>
          <w:rFonts w:cs="Times New Roman"/>
          <w:szCs w:val="24"/>
        </w:rPr>
        <w:t>o preço de um</w:t>
      </w:r>
      <w:r>
        <w:rPr>
          <w:rFonts w:cs="Times New Roman"/>
          <w:szCs w:val="24"/>
        </w:rPr>
        <w:t xml:space="preserve"> dado peso fixo,</w:t>
      </w:r>
      <w:r w:rsidRPr="00DB4A68">
        <w:rPr>
          <w:rFonts w:cs="Times New Roman"/>
          <w:szCs w:val="24"/>
        </w:rPr>
        <w:t xml:space="preserve"> para qualquer tamanho de pacote</w:t>
      </w:r>
      <w:r>
        <w:rPr>
          <w:rFonts w:cs="Times New Roman"/>
          <w:szCs w:val="24"/>
        </w:rPr>
        <w:t>,</w:t>
      </w:r>
      <w:r w:rsidRPr="00DB4A68">
        <w:rPr>
          <w:rFonts w:cs="Times New Roman"/>
          <w:szCs w:val="24"/>
        </w:rPr>
        <w:t xml:space="preserve"> variar inversamente com o </w:t>
      </w:r>
      <w:r>
        <w:rPr>
          <w:rFonts w:cs="Times New Roman"/>
          <w:szCs w:val="24"/>
        </w:rPr>
        <w:t>“</w:t>
      </w:r>
      <w:r w:rsidRPr="00DB4A68">
        <w:rPr>
          <w:rFonts w:cs="Times New Roman"/>
          <w:szCs w:val="24"/>
        </w:rPr>
        <w:t>tamanho da loja</w:t>
      </w:r>
      <w:r>
        <w:rPr>
          <w:rFonts w:cs="Times New Roman"/>
          <w:szCs w:val="24"/>
        </w:rPr>
        <w:t xml:space="preserve">”, </w:t>
      </w:r>
      <w:r w:rsidRPr="00DB4A68">
        <w:rPr>
          <w:rFonts w:cs="Times New Roman"/>
          <w:szCs w:val="24"/>
        </w:rPr>
        <w:t>as</w:t>
      </w:r>
      <w:r>
        <w:rPr>
          <w:rFonts w:cs="Times New Roman"/>
          <w:szCs w:val="24"/>
        </w:rPr>
        <w:t xml:space="preserve"> pessoas que compram em grandes estabelecimentos possuiriam custos inferiores a aqueles que comprassem lojas menores. </w:t>
      </w:r>
    </w:p>
    <w:p w:rsidR="003C6078" w:rsidRDefault="003C6078" w:rsidP="003C6078">
      <w:pPr>
        <w:ind w:firstLine="708"/>
        <w:contextualSpacing/>
        <w:jc w:val="both"/>
        <w:rPr>
          <w:rFonts w:cs="Times New Roman"/>
          <w:szCs w:val="24"/>
        </w:rPr>
      </w:pPr>
      <w:r>
        <w:rPr>
          <w:rFonts w:cs="Times New Roman"/>
          <w:szCs w:val="24"/>
        </w:rPr>
        <w:t>Enquanto que, o</w:t>
      </w:r>
      <w:r w:rsidRPr="00DB4A68">
        <w:rPr>
          <w:rFonts w:cs="Times New Roman"/>
          <w:szCs w:val="24"/>
        </w:rPr>
        <w:t xml:space="preserve"> efeito </w:t>
      </w:r>
      <w:r>
        <w:rPr>
          <w:rFonts w:cs="Times New Roman"/>
          <w:szCs w:val="24"/>
        </w:rPr>
        <w:t>“</w:t>
      </w:r>
      <w:r w:rsidRPr="00DB4A68">
        <w:rPr>
          <w:rFonts w:cs="Times New Roman"/>
          <w:szCs w:val="24"/>
        </w:rPr>
        <w:t>tamanho do pacote de alimento</w:t>
      </w:r>
      <w:r>
        <w:rPr>
          <w:rFonts w:cs="Times New Roman"/>
          <w:szCs w:val="24"/>
        </w:rPr>
        <w:t>” se referia</w:t>
      </w:r>
      <w:r w:rsidRPr="00DB4A68">
        <w:rPr>
          <w:rFonts w:cs="Times New Roman"/>
          <w:szCs w:val="24"/>
        </w:rPr>
        <w:t xml:space="preserve"> </w:t>
      </w:r>
      <w:r>
        <w:rPr>
          <w:rFonts w:cs="Times New Roman"/>
          <w:szCs w:val="24"/>
        </w:rPr>
        <w:t>aos diferentes</w:t>
      </w:r>
      <w:r w:rsidRPr="00DB4A68">
        <w:rPr>
          <w:rFonts w:cs="Times New Roman"/>
          <w:szCs w:val="24"/>
        </w:rPr>
        <w:t xml:space="preserve"> preço</w:t>
      </w:r>
      <w:r>
        <w:rPr>
          <w:rFonts w:cs="Times New Roman"/>
          <w:szCs w:val="24"/>
        </w:rPr>
        <w:t>s</w:t>
      </w:r>
      <w:r w:rsidRPr="00DB4A68">
        <w:rPr>
          <w:rFonts w:cs="Times New Roman"/>
          <w:szCs w:val="24"/>
        </w:rPr>
        <w:t xml:space="preserve"> para</w:t>
      </w:r>
      <w:r>
        <w:rPr>
          <w:rFonts w:cs="Times New Roman"/>
          <w:szCs w:val="24"/>
        </w:rPr>
        <w:t xml:space="preserve"> os</w:t>
      </w:r>
      <w:r w:rsidRPr="00DB4A68">
        <w:rPr>
          <w:rFonts w:cs="Times New Roman"/>
          <w:szCs w:val="24"/>
        </w:rPr>
        <w:t xml:space="preserve"> vários</w:t>
      </w:r>
      <w:r>
        <w:rPr>
          <w:rFonts w:cs="Times New Roman"/>
          <w:szCs w:val="24"/>
        </w:rPr>
        <w:t xml:space="preserve"> possíveis</w:t>
      </w:r>
      <w:r w:rsidRPr="00DB4A68">
        <w:rPr>
          <w:rFonts w:cs="Times New Roman"/>
          <w:szCs w:val="24"/>
        </w:rPr>
        <w:t xml:space="preserve"> tamanhos de pacotes de um determinado p</w:t>
      </w:r>
      <w:r>
        <w:rPr>
          <w:rFonts w:cs="Times New Roman"/>
          <w:szCs w:val="24"/>
        </w:rPr>
        <w:t xml:space="preserve">roduto de </w:t>
      </w:r>
      <w:r w:rsidRPr="00DB4A68">
        <w:rPr>
          <w:rFonts w:cs="Times New Roman"/>
          <w:szCs w:val="24"/>
        </w:rPr>
        <w:lastRenderedPageBreak/>
        <w:t>qualidade</w:t>
      </w:r>
      <w:r>
        <w:rPr>
          <w:rFonts w:cs="Times New Roman"/>
          <w:szCs w:val="24"/>
        </w:rPr>
        <w:t>/marco</w:t>
      </w:r>
      <w:r w:rsidR="00ED44E7">
        <w:rPr>
          <w:rFonts w:cs="Times New Roman"/>
          <w:szCs w:val="24"/>
        </w:rPr>
        <w:t xml:space="preserve"> padrão. Se o preço em relação ao peso</w:t>
      </w:r>
      <w:r w:rsidRPr="00DB4A68">
        <w:rPr>
          <w:rFonts w:cs="Times New Roman"/>
          <w:szCs w:val="24"/>
        </w:rPr>
        <w:t xml:space="preserve"> variar inversamente com o tamanho do pacote, as pessoas pobres, que só podem comprar pacotes pequenos em razão de restrição orçamentaria acabarão pagando mais, pela mesma quantidade, do que se pudessem comprar </w:t>
      </w:r>
      <w:r w:rsidR="00ED44E7">
        <w:rPr>
          <w:rFonts w:cs="Times New Roman"/>
          <w:szCs w:val="24"/>
        </w:rPr>
        <w:t>embalagens maiores.</w:t>
      </w:r>
      <w:r w:rsidRPr="00DB4A68">
        <w:rPr>
          <w:rFonts w:cs="Times New Roman"/>
          <w:szCs w:val="24"/>
        </w:rPr>
        <w:t xml:space="preserve"> (KUNREUTHER, 1973).</w:t>
      </w:r>
    </w:p>
    <w:p w:rsidR="00315981" w:rsidRPr="00315981" w:rsidRDefault="00A466BA" w:rsidP="00315981">
      <w:pPr>
        <w:ind w:firstLine="708"/>
        <w:contextualSpacing/>
        <w:jc w:val="both"/>
        <w:rPr>
          <w:rFonts w:cs="Times New Roman"/>
          <w:szCs w:val="24"/>
        </w:rPr>
      </w:pPr>
      <w:r>
        <w:rPr>
          <w:rFonts w:cs="Times New Roman"/>
          <w:szCs w:val="24"/>
        </w:rPr>
        <w:t>Para</w:t>
      </w:r>
      <w:r w:rsidRPr="00DB4A68">
        <w:rPr>
          <w:rFonts w:cs="Times New Roman"/>
          <w:szCs w:val="24"/>
        </w:rPr>
        <w:t xml:space="preserve"> </w:t>
      </w:r>
      <w:proofErr w:type="spellStart"/>
      <w:r w:rsidRPr="00DB4A68">
        <w:rPr>
          <w:rFonts w:cs="Times New Roman"/>
          <w:szCs w:val="24"/>
        </w:rPr>
        <w:t>Prahalad</w:t>
      </w:r>
      <w:proofErr w:type="spellEnd"/>
      <w:r w:rsidRPr="00DB4A68">
        <w:rPr>
          <w:rFonts w:cs="Times New Roman"/>
          <w:szCs w:val="24"/>
        </w:rPr>
        <w:t xml:space="preserve"> (2005), a multa da pobreza é resultado</w:t>
      </w:r>
      <w:r>
        <w:rPr>
          <w:rFonts w:cs="Times New Roman"/>
          <w:szCs w:val="24"/>
        </w:rPr>
        <w:t>,</w:t>
      </w:r>
      <w:r w:rsidRPr="00DB4A68">
        <w:rPr>
          <w:rFonts w:cs="Times New Roman"/>
          <w:szCs w:val="24"/>
        </w:rPr>
        <w:t xml:space="preserve"> principalmente</w:t>
      </w:r>
      <w:r>
        <w:rPr>
          <w:rFonts w:cs="Times New Roman"/>
          <w:szCs w:val="24"/>
        </w:rPr>
        <w:t>, dos</w:t>
      </w:r>
      <w:r w:rsidRPr="00DB4A68">
        <w:rPr>
          <w:rFonts w:cs="Times New Roman"/>
          <w:szCs w:val="24"/>
        </w:rPr>
        <w:t xml:space="preserve"> monopólios locais e </w:t>
      </w:r>
      <w:r>
        <w:rPr>
          <w:rFonts w:cs="Times New Roman"/>
          <w:szCs w:val="24"/>
        </w:rPr>
        <w:t xml:space="preserve">das </w:t>
      </w:r>
      <w:r w:rsidRPr="00DB4A68">
        <w:rPr>
          <w:rFonts w:cs="Times New Roman"/>
          <w:szCs w:val="24"/>
        </w:rPr>
        <w:t>dificuldades de acesso a outras oportunidades de compras.</w:t>
      </w:r>
      <w:r w:rsidR="00315981">
        <w:rPr>
          <w:rFonts w:cs="Times New Roman"/>
          <w:szCs w:val="24"/>
        </w:rPr>
        <w:t xml:space="preserve"> </w:t>
      </w:r>
      <w:r>
        <w:rPr>
          <w:rFonts w:cs="Times New Roman"/>
        </w:rPr>
        <w:t xml:space="preserve">Portanto, a </w:t>
      </w:r>
      <w:r w:rsidRPr="00DB4A68">
        <w:rPr>
          <w:rFonts w:cs="Times New Roman"/>
        </w:rPr>
        <w:t xml:space="preserve">ideia geral do conceito de multa da pobreza é que as famílias pobres, para certos tipos de gastos, pagariam mais do que as famílias não pobres. </w:t>
      </w:r>
      <w:proofErr w:type="spellStart"/>
      <w:r w:rsidRPr="00DB4A68">
        <w:rPr>
          <w:rFonts w:cs="Times New Roman"/>
        </w:rPr>
        <w:t>Prahalad</w:t>
      </w:r>
      <w:proofErr w:type="spellEnd"/>
      <w:r w:rsidRPr="00DB4A68">
        <w:rPr>
          <w:rFonts w:cs="Times New Roman"/>
        </w:rPr>
        <w:t xml:space="preserve"> (2005) atribuiu a esses gastos o con</w:t>
      </w:r>
      <w:r w:rsidR="00315981">
        <w:rPr>
          <w:rFonts w:cs="Times New Roman"/>
        </w:rPr>
        <w:t xml:space="preserve">ceito de “gastos catastróficos”, que recebem essa denominação quando </w:t>
      </w:r>
      <w:r w:rsidR="00315981" w:rsidRPr="00DB4A68">
        <w:rPr>
          <w:rFonts w:cs="Times New Roman"/>
        </w:rPr>
        <w:t xml:space="preserve">o domicílio </w:t>
      </w:r>
      <w:r w:rsidR="00315981">
        <w:rPr>
          <w:rFonts w:cs="Times New Roman"/>
        </w:rPr>
        <w:t>tem que reduzir</w:t>
      </w:r>
      <w:r w:rsidR="00315981" w:rsidRPr="00DB4A68">
        <w:rPr>
          <w:rFonts w:cs="Times New Roman"/>
        </w:rPr>
        <w:t xml:space="preserve"> as despesas com outros grupos básicos de gastos (como educação, por exemplo) por algum tempo</w:t>
      </w:r>
      <w:r w:rsidR="00315981">
        <w:rPr>
          <w:rFonts w:cs="Times New Roman"/>
        </w:rPr>
        <w:t xml:space="preserve"> para poder arcar com os esses tipos de gasto,</w:t>
      </w:r>
    </w:p>
    <w:p w:rsidR="00A466BA" w:rsidRPr="00315981" w:rsidRDefault="00A466BA" w:rsidP="00315981">
      <w:pPr>
        <w:ind w:firstLine="708"/>
        <w:contextualSpacing/>
        <w:jc w:val="both"/>
        <w:rPr>
          <w:rFonts w:cs="Times New Roman"/>
          <w:szCs w:val="24"/>
        </w:rPr>
      </w:pPr>
      <w:r w:rsidRPr="00DB4A68">
        <w:rPr>
          <w:rFonts w:cs="Times New Roman"/>
        </w:rPr>
        <w:t>Em seu trabalho, usando os gastos com saúde como base, o autor estabeleceu uma análise da composição dos gastos dos domicílios em relação a itens de saúde e comparou com a composição dos gastos com outros grupos de despesas. Usando critérios de diferenciação de domicílios como condições de moradia, nível de escolaridade dos morado</w:t>
      </w:r>
      <w:r w:rsidR="00315981">
        <w:rPr>
          <w:rFonts w:cs="Times New Roman"/>
        </w:rPr>
        <w:t xml:space="preserve">res e renda, o autor </w:t>
      </w:r>
      <w:proofErr w:type="spellStart"/>
      <w:r w:rsidR="00315981">
        <w:rPr>
          <w:rFonts w:cs="Times New Roman"/>
        </w:rPr>
        <w:t>consideraou</w:t>
      </w:r>
      <w:proofErr w:type="spellEnd"/>
      <w:r w:rsidRPr="00DB4A68">
        <w:rPr>
          <w:rFonts w:cs="Times New Roman"/>
        </w:rPr>
        <w:t xml:space="preserve"> o gasto com saúde como “catastrófico</w:t>
      </w:r>
      <w:r w:rsidR="00315981">
        <w:rPr>
          <w:rFonts w:cs="Times New Roman"/>
        </w:rPr>
        <w:t>”</w:t>
      </w:r>
      <w:proofErr w:type="gramStart"/>
      <w:r w:rsidRPr="00DB4A68">
        <w:rPr>
          <w:rFonts w:cs="Times New Roman"/>
        </w:rPr>
        <w:t xml:space="preserve"> </w:t>
      </w:r>
      <w:r w:rsidR="00315981">
        <w:rPr>
          <w:rFonts w:cs="Times New Roman"/>
          <w:szCs w:val="24"/>
        </w:rPr>
        <w:t>pois</w:t>
      </w:r>
      <w:proofErr w:type="gramEnd"/>
      <w:r w:rsidR="00315981">
        <w:rPr>
          <w:rFonts w:cs="Times New Roman"/>
          <w:szCs w:val="24"/>
        </w:rPr>
        <w:t xml:space="preserve"> outros gastos seriam prejudicados</w:t>
      </w:r>
      <w:r w:rsidR="00315981" w:rsidRPr="00DB4A68">
        <w:rPr>
          <w:rFonts w:cs="Times New Roman"/>
          <w:szCs w:val="24"/>
        </w:rPr>
        <w:t xml:space="preserve"> para conseguir se arcar com os custos de saúde.</w:t>
      </w:r>
    </w:p>
    <w:p w:rsidR="00315981" w:rsidRDefault="00315981" w:rsidP="00A466BA">
      <w:pPr>
        <w:ind w:firstLine="708"/>
        <w:contextualSpacing/>
        <w:jc w:val="both"/>
        <w:rPr>
          <w:rFonts w:cs="Times New Roman"/>
          <w:szCs w:val="24"/>
        </w:rPr>
      </w:pPr>
      <w:r>
        <w:rPr>
          <w:rFonts w:cs="Times New Roman"/>
          <w:szCs w:val="24"/>
        </w:rPr>
        <w:t>Assim, o</w:t>
      </w:r>
      <w:r w:rsidR="00A466BA" w:rsidRPr="00DB4A68">
        <w:rPr>
          <w:rFonts w:cs="Times New Roman"/>
          <w:szCs w:val="24"/>
        </w:rPr>
        <w:t xml:space="preserve"> critério de definição da existência de multa da pobreza, para </w:t>
      </w:r>
      <w:proofErr w:type="spellStart"/>
      <w:r w:rsidR="00A466BA" w:rsidRPr="00DB4A68">
        <w:rPr>
          <w:rFonts w:cs="Times New Roman"/>
          <w:szCs w:val="24"/>
        </w:rPr>
        <w:t>Prahalad</w:t>
      </w:r>
      <w:proofErr w:type="spellEnd"/>
      <w:r w:rsidR="00A466BA">
        <w:rPr>
          <w:rFonts w:cs="Times New Roman"/>
          <w:szCs w:val="24"/>
        </w:rPr>
        <w:t xml:space="preserve"> (2005)</w:t>
      </w:r>
      <w:r w:rsidR="00A466BA" w:rsidRPr="00DB4A68">
        <w:rPr>
          <w:rFonts w:cs="Times New Roman"/>
          <w:szCs w:val="24"/>
        </w:rPr>
        <w:t xml:space="preserve">, seria quando houvesse variação positiva nas despesas com algum item de consumo e isso levasse a uma redução nos gastos </w:t>
      </w:r>
      <w:r>
        <w:rPr>
          <w:rFonts w:cs="Times New Roman"/>
          <w:szCs w:val="24"/>
        </w:rPr>
        <w:t>catastróficos</w:t>
      </w:r>
      <w:r w:rsidR="00A466BA" w:rsidRPr="00DB4A68">
        <w:rPr>
          <w:rFonts w:cs="Times New Roman"/>
          <w:szCs w:val="24"/>
        </w:rPr>
        <w:t xml:space="preserve">. </w:t>
      </w:r>
    </w:p>
    <w:p w:rsidR="00A466BA" w:rsidRPr="00DB4A68" w:rsidRDefault="00A466BA" w:rsidP="00A466BA">
      <w:pPr>
        <w:ind w:firstLine="708"/>
        <w:contextualSpacing/>
        <w:jc w:val="both"/>
        <w:rPr>
          <w:rFonts w:cs="Times New Roman"/>
          <w:szCs w:val="24"/>
        </w:rPr>
      </w:pPr>
      <w:proofErr w:type="spellStart"/>
      <w:r w:rsidRPr="00DB4A68">
        <w:rPr>
          <w:rFonts w:cs="Times New Roman"/>
          <w:szCs w:val="24"/>
        </w:rPr>
        <w:t>Hammond</w:t>
      </w:r>
      <w:proofErr w:type="spellEnd"/>
      <w:r w:rsidRPr="00DB4A68">
        <w:rPr>
          <w:rFonts w:cs="Times New Roman"/>
          <w:szCs w:val="24"/>
        </w:rPr>
        <w:t xml:space="preserve"> </w:t>
      </w:r>
      <w:proofErr w:type="gramStart"/>
      <w:r w:rsidRPr="00DB4A68">
        <w:rPr>
          <w:rFonts w:cs="Times New Roman"/>
          <w:i/>
          <w:szCs w:val="24"/>
        </w:rPr>
        <w:t>et</w:t>
      </w:r>
      <w:proofErr w:type="gramEnd"/>
      <w:r w:rsidRPr="00DB4A68">
        <w:rPr>
          <w:rFonts w:cs="Times New Roman"/>
          <w:i/>
          <w:szCs w:val="24"/>
        </w:rPr>
        <w:t xml:space="preserve"> al</w:t>
      </w:r>
      <w:r w:rsidRPr="00DB4A68">
        <w:rPr>
          <w:rFonts w:cs="Times New Roman"/>
          <w:szCs w:val="24"/>
        </w:rPr>
        <w:t xml:space="preserve">. (2007) </w:t>
      </w:r>
      <w:proofErr w:type="spellStart"/>
      <w:r w:rsidRPr="00DB4A68">
        <w:rPr>
          <w:rFonts w:cs="Times New Roman"/>
          <w:szCs w:val="24"/>
        </w:rPr>
        <w:t>contribu</w:t>
      </w:r>
      <w:r w:rsidR="0024002F">
        <w:rPr>
          <w:rFonts w:cs="Times New Roman"/>
          <w:szCs w:val="24"/>
        </w:rPr>
        <w:t>iram</w:t>
      </w:r>
      <w:proofErr w:type="spellEnd"/>
      <w:r w:rsidRPr="00DB4A68">
        <w:rPr>
          <w:rFonts w:cs="Times New Roman"/>
          <w:szCs w:val="24"/>
        </w:rPr>
        <w:t xml:space="preserve"> para o conceito de multa da pobreza, à medida que aponta</w:t>
      </w:r>
      <w:r w:rsidR="0024002F">
        <w:rPr>
          <w:rFonts w:cs="Times New Roman"/>
          <w:szCs w:val="24"/>
        </w:rPr>
        <w:t>ra</w:t>
      </w:r>
      <w:r w:rsidRPr="00DB4A68">
        <w:rPr>
          <w:rFonts w:cs="Times New Roman"/>
          <w:szCs w:val="24"/>
        </w:rPr>
        <w:t>m instrumentos de intervenção sobre a pobreza, através da caracterização da multa. Isto</w:t>
      </w:r>
      <w:r w:rsidR="0024002F">
        <w:rPr>
          <w:rFonts w:cs="Times New Roman"/>
          <w:szCs w:val="24"/>
        </w:rPr>
        <w:t xml:space="preserve"> foi</w:t>
      </w:r>
      <w:r w:rsidRPr="00DB4A68">
        <w:rPr>
          <w:rFonts w:cs="Times New Roman"/>
          <w:szCs w:val="24"/>
        </w:rPr>
        <w:t xml:space="preserve"> feito à medida que os autores percebe</w:t>
      </w:r>
      <w:r w:rsidR="0024002F">
        <w:rPr>
          <w:rFonts w:cs="Times New Roman"/>
          <w:szCs w:val="24"/>
        </w:rPr>
        <w:t>ra</w:t>
      </w:r>
      <w:r w:rsidRPr="00DB4A68">
        <w:rPr>
          <w:rFonts w:cs="Times New Roman"/>
          <w:szCs w:val="24"/>
        </w:rPr>
        <w:t xml:space="preserve">m que a parcela da população que está na base da pirâmide de renda no mundo, com renda familiar anual inferior a $ 3.000 de dólares, </w:t>
      </w:r>
      <w:r w:rsidR="0024002F">
        <w:rPr>
          <w:rFonts w:cs="Times New Roman"/>
          <w:szCs w:val="24"/>
        </w:rPr>
        <w:t>era</w:t>
      </w:r>
      <w:r w:rsidRPr="00DB4A68">
        <w:rPr>
          <w:rFonts w:cs="Times New Roman"/>
          <w:szCs w:val="24"/>
        </w:rPr>
        <w:t xml:space="preserve"> muito grande (estimada em </w:t>
      </w:r>
      <w:proofErr w:type="gramStart"/>
      <w:r w:rsidRPr="00DB4A68">
        <w:rPr>
          <w:rFonts w:cs="Times New Roman"/>
          <w:szCs w:val="24"/>
        </w:rPr>
        <w:t>4</w:t>
      </w:r>
      <w:proofErr w:type="gramEnd"/>
      <w:r w:rsidRPr="00DB4A68">
        <w:rPr>
          <w:rFonts w:cs="Times New Roman"/>
          <w:szCs w:val="24"/>
        </w:rPr>
        <w:t xml:space="preserve"> bilhões). Combinado a isto, os autores constata</w:t>
      </w:r>
      <w:r w:rsidR="0024002F">
        <w:rPr>
          <w:rFonts w:cs="Times New Roman"/>
          <w:szCs w:val="24"/>
        </w:rPr>
        <w:t>ram que essa população estava</w:t>
      </w:r>
      <w:r w:rsidRPr="00DB4A68">
        <w:rPr>
          <w:rFonts w:cs="Times New Roman"/>
          <w:szCs w:val="24"/>
        </w:rPr>
        <w:t xml:space="preserve"> caracterizada por se encontrar, em sua maioria, na zona rural, </w:t>
      </w:r>
      <w:r w:rsidR="0024002F" w:rsidRPr="00DB4A68">
        <w:rPr>
          <w:rFonts w:cs="Times New Roman"/>
          <w:szCs w:val="24"/>
        </w:rPr>
        <w:t>inseridas em mercados geralm</w:t>
      </w:r>
      <w:r w:rsidR="0024002F">
        <w:rPr>
          <w:rFonts w:cs="Times New Roman"/>
          <w:szCs w:val="24"/>
        </w:rPr>
        <w:t xml:space="preserve">ente informais e desorganizadas. Sendo assim </w:t>
      </w:r>
      <w:r w:rsidRPr="00DB4A68">
        <w:rPr>
          <w:rFonts w:cs="Times New Roman"/>
          <w:szCs w:val="24"/>
        </w:rPr>
        <w:t>mui</w:t>
      </w:r>
      <w:r w:rsidR="0024002F">
        <w:rPr>
          <w:rFonts w:cs="Times New Roman"/>
          <w:szCs w:val="24"/>
        </w:rPr>
        <w:t>to dependentes a</w:t>
      </w:r>
      <w:r w:rsidRPr="00DB4A68">
        <w:rPr>
          <w:rFonts w:cs="Times New Roman"/>
          <w:szCs w:val="24"/>
        </w:rPr>
        <w:t>os meios de subsistência</w:t>
      </w:r>
      <w:r w:rsidR="0024002F">
        <w:rPr>
          <w:rFonts w:cs="Times New Roman"/>
          <w:szCs w:val="24"/>
        </w:rPr>
        <w:t xml:space="preserve">, e expostos facilmente </w:t>
      </w:r>
      <w:proofErr w:type="gramStart"/>
      <w:r w:rsidR="0024002F">
        <w:rPr>
          <w:rFonts w:cs="Times New Roman"/>
          <w:szCs w:val="24"/>
        </w:rPr>
        <w:t>a</w:t>
      </w:r>
      <w:proofErr w:type="gramEnd"/>
      <w:r w:rsidRPr="00DB4A68">
        <w:rPr>
          <w:rFonts w:cs="Times New Roman"/>
          <w:szCs w:val="24"/>
        </w:rPr>
        <w:t xml:space="preserve"> exploração por parte de empregadores e intermediários. Observ</w:t>
      </w:r>
      <w:r w:rsidR="0024002F">
        <w:rPr>
          <w:rFonts w:cs="Times New Roman"/>
          <w:szCs w:val="24"/>
        </w:rPr>
        <w:t>aram ainda, que os</w:t>
      </w:r>
      <w:r w:rsidRPr="00DB4A68">
        <w:rPr>
          <w:rFonts w:cs="Times New Roman"/>
          <w:szCs w:val="24"/>
        </w:rPr>
        <w:t xml:space="preserve"> orçamentos</w:t>
      </w:r>
      <w:r w:rsidR="0024002F">
        <w:rPr>
          <w:rFonts w:cs="Times New Roman"/>
          <w:szCs w:val="24"/>
        </w:rPr>
        <w:t xml:space="preserve"> dessa parte da população encontravam-se</w:t>
      </w:r>
      <w:r w:rsidRPr="00DB4A68">
        <w:rPr>
          <w:rFonts w:cs="Times New Roman"/>
          <w:szCs w:val="24"/>
        </w:rPr>
        <w:t xml:space="preserve"> mais comprometidos com alimentação quanto menor </w:t>
      </w:r>
      <w:r w:rsidR="0024002F">
        <w:rPr>
          <w:rFonts w:cs="Times New Roman"/>
          <w:szCs w:val="24"/>
        </w:rPr>
        <w:t>fosse</w:t>
      </w:r>
      <w:r w:rsidRPr="00DB4A68">
        <w:rPr>
          <w:rFonts w:cs="Times New Roman"/>
          <w:szCs w:val="24"/>
        </w:rPr>
        <w:t xml:space="preserve"> </w:t>
      </w:r>
      <w:proofErr w:type="gramStart"/>
      <w:r w:rsidRPr="00DB4A68">
        <w:rPr>
          <w:rFonts w:cs="Times New Roman"/>
          <w:szCs w:val="24"/>
        </w:rPr>
        <w:t>a</w:t>
      </w:r>
      <w:proofErr w:type="gramEnd"/>
      <w:r w:rsidRPr="00DB4A68">
        <w:rPr>
          <w:rFonts w:cs="Times New Roman"/>
          <w:szCs w:val="24"/>
        </w:rPr>
        <w:t xml:space="preserve"> renda. Finalmente, observa</w:t>
      </w:r>
      <w:r w:rsidR="0024002F">
        <w:rPr>
          <w:rFonts w:cs="Times New Roman"/>
          <w:szCs w:val="24"/>
        </w:rPr>
        <w:t>ra</w:t>
      </w:r>
      <w:r w:rsidRPr="00DB4A68">
        <w:rPr>
          <w:rFonts w:cs="Times New Roman"/>
          <w:szCs w:val="24"/>
        </w:rPr>
        <w:t>m também, que essas pessoas sofre</w:t>
      </w:r>
      <w:r w:rsidR="0024002F">
        <w:rPr>
          <w:rFonts w:cs="Times New Roman"/>
          <w:szCs w:val="24"/>
        </w:rPr>
        <w:t>ra</w:t>
      </w:r>
      <w:r w:rsidRPr="00DB4A68">
        <w:rPr>
          <w:rFonts w:cs="Times New Roman"/>
          <w:szCs w:val="24"/>
        </w:rPr>
        <w:t xml:space="preserve">m a multa da pobreza. </w:t>
      </w:r>
      <w:r w:rsidR="0024002F" w:rsidRPr="00DB4A68">
        <w:rPr>
          <w:rFonts w:cs="Times New Roman"/>
          <w:szCs w:val="24"/>
        </w:rPr>
        <w:t>Isso os lev</w:t>
      </w:r>
      <w:r w:rsidR="0024002F">
        <w:rPr>
          <w:rFonts w:cs="Times New Roman"/>
          <w:szCs w:val="24"/>
        </w:rPr>
        <w:t>ou</w:t>
      </w:r>
      <w:r w:rsidRPr="00DB4A68">
        <w:rPr>
          <w:rFonts w:cs="Times New Roman"/>
          <w:szCs w:val="24"/>
        </w:rPr>
        <w:t xml:space="preserve"> a concluir que a </w:t>
      </w:r>
      <w:r w:rsidRPr="00DB4A68">
        <w:rPr>
          <w:rFonts w:cs="Times New Roman"/>
          <w:szCs w:val="24"/>
        </w:rPr>
        <w:lastRenderedPageBreak/>
        <w:t>entrada dessas pessoas no mercado formal e a oferta de serviços básicos às mesmas faria com que muitos negócios surgissem. Para tanto seria necessário retirar</w:t>
      </w:r>
      <w:r w:rsidR="0024002F">
        <w:rPr>
          <w:rFonts w:cs="Times New Roman"/>
          <w:szCs w:val="24"/>
        </w:rPr>
        <w:t>em</w:t>
      </w:r>
      <w:r w:rsidRPr="00DB4A68">
        <w:rPr>
          <w:rFonts w:cs="Times New Roman"/>
          <w:szCs w:val="24"/>
        </w:rPr>
        <w:t xml:space="preserve"> as barreiras que inibem tal potencial, ou seja, as barreiras impostas pela multa da pobreza. </w:t>
      </w:r>
    </w:p>
    <w:p w:rsidR="00ED44E7" w:rsidRPr="00DB4A68" w:rsidRDefault="00A466BA" w:rsidP="00A466BA">
      <w:pPr>
        <w:ind w:firstLine="708"/>
        <w:contextualSpacing/>
        <w:jc w:val="both"/>
        <w:rPr>
          <w:rFonts w:cs="Times New Roman"/>
          <w:szCs w:val="24"/>
        </w:rPr>
      </w:pPr>
      <w:r w:rsidRPr="00DB4A68">
        <w:rPr>
          <w:rFonts w:cs="Times New Roman"/>
          <w:szCs w:val="24"/>
        </w:rPr>
        <w:t>Para isso seria necessário suprir as necessid</w:t>
      </w:r>
      <w:r w:rsidR="0024002F">
        <w:rPr>
          <w:rFonts w:cs="Times New Roman"/>
          <w:szCs w:val="24"/>
        </w:rPr>
        <w:t>ades da população pobre mundial. S</w:t>
      </w:r>
      <w:r w:rsidRPr="00DB4A68">
        <w:rPr>
          <w:rFonts w:cs="Times New Roman"/>
          <w:szCs w:val="24"/>
        </w:rPr>
        <w:t xml:space="preserve">endo isso um passo essencial para </w:t>
      </w:r>
      <w:r w:rsidR="0024002F">
        <w:rPr>
          <w:rFonts w:cs="Times New Roman"/>
          <w:szCs w:val="24"/>
        </w:rPr>
        <w:t>o aumento do</w:t>
      </w:r>
      <w:r w:rsidRPr="00DB4A68">
        <w:rPr>
          <w:rFonts w:cs="Times New Roman"/>
          <w:szCs w:val="24"/>
        </w:rPr>
        <w:t xml:space="preserve"> bem-estar, </w:t>
      </w:r>
      <w:r w:rsidR="0024002F">
        <w:rPr>
          <w:rFonts w:cs="Times New Roman"/>
          <w:szCs w:val="24"/>
        </w:rPr>
        <w:t>d</w:t>
      </w:r>
      <w:r w:rsidRPr="00DB4A68">
        <w:rPr>
          <w:rFonts w:cs="Times New Roman"/>
          <w:szCs w:val="24"/>
        </w:rPr>
        <w:t xml:space="preserve">a produtividade e </w:t>
      </w:r>
      <w:r w:rsidR="0024002F">
        <w:rPr>
          <w:rFonts w:cs="Times New Roman"/>
          <w:szCs w:val="24"/>
        </w:rPr>
        <w:t>d</w:t>
      </w:r>
      <w:r w:rsidRPr="00DB4A68">
        <w:rPr>
          <w:rFonts w:cs="Times New Roman"/>
          <w:szCs w:val="24"/>
        </w:rPr>
        <w:t>a capacidade dessas pessoas buscar</w:t>
      </w:r>
      <w:r w:rsidR="0024002F">
        <w:rPr>
          <w:rFonts w:cs="Times New Roman"/>
          <w:szCs w:val="24"/>
        </w:rPr>
        <w:t>em</w:t>
      </w:r>
      <w:r w:rsidRPr="00DB4A68">
        <w:rPr>
          <w:rFonts w:cs="Times New Roman"/>
          <w:szCs w:val="24"/>
        </w:rPr>
        <w:t xml:space="preserve"> e alcançar</w:t>
      </w:r>
      <w:r w:rsidR="0024002F">
        <w:rPr>
          <w:rFonts w:cs="Times New Roman"/>
          <w:szCs w:val="24"/>
        </w:rPr>
        <w:t>em novos padrões de vida. Outro ponto importante, a</w:t>
      </w:r>
      <w:r w:rsidRPr="00DB4A68">
        <w:rPr>
          <w:rFonts w:cs="Times New Roman"/>
          <w:szCs w:val="24"/>
        </w:rPr>
        <w:t xml:space="preserve"> eliminação da multa da pobreza aumentaria a renda das pessoas pobres, aumentando o poder de compra, e </w:t>
      </w:r>
      <w:r w:rsidR="0024002F">
        <w:rPr>
          <w:rFonts w:cs="Times New Roman"/>
          <w:szCs w:val="24"/>
        </w:rPr>
        <w:t>consequentemente</w:t>
      </w:r>
      <w:r w:rsidRPr="00DB4A68">
        <w:rPr>
          <w:rFonts w:cs="Times New Roman"/>
          <w:szCs w:val="24"/>
        </w:rPr>
        <w:t xml:space="preserve"> sua participação na economia (HAMMOND </w:t>
      </w:r>
      <w:proofErr w:type="gramStart"/>
      <w:r w:rsidRPr="00DB4A68">
        <w:rPr>
          <w:rFonts w:cs="Times New Roman"/>
          <w:i/>
          <w:szCs w:val="24"/>
        </w:rPr>
        <w:t>et</w:t>
      </w:r>
      <w:proofErr w:type="gramEnd"/>
      <w:r w:rsidRPr="00DB4A68">
        <w:rPr>
          <w:rFonts w:cs="Times New Roman"/>
          <w:i/>
          <w:szCs w:val="24"/>
        </w:rPr>
        <w:t xml:space="preserve"> al</w:t>
      </w:r>
      <w:r w:rsidRPr="00DB4A68">
        <w:rPr>
          <w:rFonts w:cs="Times New Roman"/>
          <w:szCs w:val="24"/>
        </w:rPr>
        <w:t>, 2007).</w:t>
      </w:r>
    </w:p>
    <w:p w:rsidR="003C6078" w:rsidRPr="00DB4A68" w:rsidRDefault="0024002F" w:rsidP="003C6078">
      <w:pPr>
        <w:ind w:firstLine="708"/>
        <w:contextualSpacing/>
        <w:jc w:val="both"/>
        <w:rPr>
          <w:rFonts w:cs="Times New Roman"/>
          <w:szCs w:val="24"/>
        </w:rPr>
      </w:pPr>
      <w:r>
        <w:rPr>
          <w:rFonts w:cs="Times New Roman"/>
          <w:szCs w:val="24"/>
        </w:rPr>
        <w:t xml:space="preserve">Já </w:t>
      </w:r>
      <w:r w:rsidR="003C6078" w:rsidRPr="00DB4A68">
        <w:rPr>
          <w:rFonts w:cs="Times New Roman"/>
          <w:szCs w:val="24"/>
        </w:rPr>
        <w:t xml:space="preserve">Mendoza (2011), com uma versão mais atual e </w:t>
      </w:r>
      <w:r>
        <w:rPr>
          <w:rFonts w:cs="Times New Roman"/>
          <w:szCs w:val="24"/>
        </w:rPr>
        <w:t>um tanto completa sobre o tema</w:t>
      </w:r>
      <w:r w:rsidR="003C6078" w:rsidRPr="00DB4A68">
        <w:rPr>
          <w:rFonts w:cs="Times New Roman"/>
          <w:szCs w:val="24"/>
        </w:rPr>
        <w:t>, diz que a participação da população pobre na economia de mercado tem se</w:t>
      </w:r>
      <w:r w:rsidR="00504B6E">
        <w:rPr>
          <w:rFonts w:cs="Times New Roman"/>
          <w:szCs w:val="24"/>
        </w:rPr>
        <w:t xml:space="preserve"> tornado mais difícil e custosa.</w:t>
      </w:r>
      <w:r w:rsidR="003C6078" w:rsidRPr="00DB4A68">
        <w:rPr>
          <w:rFonts w:cs="Times New Roman"/>
          <w:szCs w:val="24"/>
        </w:rPr>
        <w:t xml:space="preserve"> </w:t>
      </w:r>
      <w:r w:rsidR="00504B6E">
        <w:rPr>
          <w:rFonts w:cs="Times New Roman"/>
          <w:szCs w:val="24"/>
        </w:rPr>
        <w:t>Onde</w:t>
      </w:r>
      <w:proofErr w:type="gramStart"/>
      <w:r w:rsidR="00504B6E">
        <w:rPr>
          <w:rFonts w:cs="Times New Roman"/>
          <w:szCs w:val="24"/>
        </w:rPr>
        <w:t xml:space="preserve">  </w:t>
      </w:r>
      <w:proofErr w:type="gramEnd"/>
      <w:r w:rsidR="00504B6E">
        <w:rPr>
          <w:rFonts w:cs="Times New Roman"/>
          <w:szCs w:val="24"/>
        </w:rPr>
        <w:t>entender essas dificuldades e despesas</w:t>
      </w:r>
      <w:r w:rsidR="003C6078" w:rsidRPr="00DB4A68">
        <w:rPr>
          <w:rFonts w:cs="Times New Roman"/>
          <w:szCs w:val="24"/>
        </w:rPr>
        <w:t xml:space="preserve"> pode auxiliar na busca pela explicação do porquê de os pobres serem marginalizados, e o que pode ser feito, na forma de politicas econômicas e/ou sociais, para tentar superar essa situação.</w:t>
      </w:r>
    </w:p>
    <w:p w:rsidR="003C6078" w:rsidRPr="00DB4A68" w:rsidRDefault="003C6078" w:rsidP="003C6078">
      <w:pPr>
        <w:ind w:firstLine="708"/>
        <w:contextualSpacing/>
        <w:jc w:val="both"/>
        <w:rPr>
          <w:rFonts w:cs="Times New Roman"/>
          <w:szCs w:val="24"/>
        </w:rPr>
      </w:pPr>
      <w:r w:rsidRPr="00DB4A68">
        <w:rPr>
          <w:rFonts w:cs="Times New Roman"/>
          <w:szCs w:val="24"/>
        </w:rPr>
        <w:t>Mendonza (2011) sistematiza as diversas óticas do conceito de multa da pobreza, nos seguintes grupos:</w:t>
      </w:r>
    </w:p>
    <w:p w:rsidR="003C6078" w:rsidRPr="00DB4A68" w:rsidRDefault="003C6078" w:rsidP="003C6078">
      <w:pPr>
        <w:ind w:firstLine="708"/>
        <w:contextualSpacing/>
        <w:jc w:val="both"/>
        <w:rPr>
          <w:rFonts w:cs="Times New Roman"/>
          <w:szCs w:val="24"/>
        </w:rPr>
      </w:pPr>
      <w:r w:rsidRPr="00DB4A68">
        <w:rPr>
          <w:rFonts w:cs="Times New Roman"/>
          <w:szCs w:val="24"/>
        </w:rPr>
        <w:t xml:space="preserve">■ Qualidade inferior: visão relacionada aos produtos, quando os produtos que os pobres adquirem são de pior qualidade em relação àqueles adquiridos pelos </w:t>
      </w:r>
      <w:proofErr w:type="gramStart"/>
      <w:r w:rsidRPr="00DB4A68">
        <w:rPr>
          <w:rFonts w:cs="Times New Roman"/>
          <w:szCs w:val="24"/>
        </w:rPr>
        <w:t>não-pobres</w:t>
      </w:r>
      <w:proofErr w:type="gramEnd"/>
      <w:r w:rsidRPr="00DB4A68">
        <w:rPr>
          <w:rFonts w:cs="Times New Roman"/>
          <w:szCs w:val="24"/>
        </w:rPr>
        <w:t>, a preços similares;</w:t>
      </w:r>
    </w:p>
    <w:p w:rsidR="003C6078" w:rsidRPr="00DB4A68" w:rsidRDefault="003C6078" w:rsidP="003C6078">
      <w:pPr>
        <w:ind w:firstLine="708"/>
        <w:contextualSpacing/>
        <w:jc w:val="both"/>
        <w:rPr>
          <w:rFonts w:cs="Times New Roman"/>
          <w:szCs w:val="24"/>
        </w:rPr>
      </w:pPr>
      <w:r w:rsidRPr="00DB4A68">
        <w:rPr>
          <w:rFonts w:cs="Times New Roman"/>
          <w:szCs w:val="24"/>
        </w:rPr>
        <w:t xml:space="preserve">■ Preço mais alto: visão relacionada aos preços, quando os pobres encontram produtos similares àqueles vendidos aos </w:t>
      </w:r>
      <w:proofErr w:type="gramStart"/>
      <w:r w:rsidRPr="00DB4A68">
        <w:rPr>
          <w:rFonts w:cs="Times New Roman"/>
          <w:szCs w:val="24"/>
        </w:rPr>
        <w:t>não-pobres</w:t>
      </w:r>
      <w:proofErr w:type="gramEnd"/>
      <w:r w:rsidRPr="00DB4A68">
        <w:rPr>
          <w:rFonts w:cs="Times New Roman"/>
          <w:szCs w:val="24"/>
        </w:rPr>
        <w:t>, porém, a um preço mais alto;</w:t>
      </w:r>
    </w:p>
    <w:p w:rsidR="003C6078" w:rsidRPr="00DB4A68" w:rsidRDefault="003C6078" w:rsidP="003C6078">
      <w:pPr>
        <w:ind w:firstLine="708"/>
        <w:contextualSpacing/>
        <w:jc w:val="both"/>
        <w:rPr>
          <w:rFonts w:cs="Times New Roman"/>
          <w:szCs w:val="24"/>
        </w:rPr>
      </w:pPr>
      <w:r w:rsidRPr="00DB4A68">
        <w:rPr>
          <w:rFonts w:cs="Times New Roman"/>
          <w:szCs w:val="24"/>
        </w:rPr>
        <w:t>■ Falta de acesso: quando os preços são altos o suficiente para impedir as pessoas pobres de ter acesso a tais produtos;</w:t>
      </w:r>
    </w:p>
    <w:p w:rsidR="003C6078" w:rsidRPr="00DB4A68" w:rsidRDefault="003C6078" w:rsidP="003C6078">
      <w:pPr>
        <w:ind w:firstLine="708"/>
        <w:contextualSpacing/>
        <w:jc w:val="both"/>
        <w:rPr>
          <w:rFonts w:cs="Times New Roman"/>
          <w:szCs w:val="24"/>
        </w:rPr>
      </w:pPr>
      <w:r w:rsidRPr="00DB4A68">
        <w:rPr>
          <w:rFonts w:cs="Times New Roman"/>
          <w:szCs w:val="24"/>
        </w:rPr>
        <w:t>■ Falta de uso: quando, além dos altos preços ou da baixa qualidade, o consumidor abandona o mercado do bem ou serviço por algum outro fator que o impede;</w:t>
      </w:r>
    </w:p>
    <w:p w:rsidR="003C6078" w:rsidRPr="00DB4A68" w:rsidRDefault="003C6078" w:rsidP="003C6078">
      <w:pPr>
        <w:ind w:firstLine="708"/>
        <w:contextualSpacing/>
        <w:jc w:val="both"/>
        <w:rPr>
          <w:rFonts w:cs="Times New Roman"/>
          <w:szCs w:val="24"/>
        </w:rPr>
      </w:pPr>
      <w:r w:rsidRPr="00DB4A68">
        <w:rPr>
          <w:rFonts w:cs="Times New Roman"/>
          <w:szCs w:val="24"/>
        </w:rPr>
        <w:t xml:space="preserve">■ Catastrofismo: quando o conceito está relacionado ao de “gastos catastróficos” de </w:t>
      </w:r>
      <w:proofErr w:type="spellStart"/>
      <w:r w:rsidRPr="00DB4A68">
        <w:rPr>
          <w:rFonts w:cs="Times New Roman"/>
          <w:szCs w:val="24"/>
        </w:rPr>
        <w:t>Prahalad</w:t>
      </w:r>
      <w:proofErr w:type="spellEnd"/>
      <w:r w:rsidRPr="00DB4A68">
        <w:rPr>
          <w:rFonts w:cs="Times New Roman"/>
          <w:szCs w:val="24"/>
        </w:rPr>
        <w:t xml:space="preserve"> (2005).</w:t>
      </w:r>
    </w:p>
    <w:p w:rsidR="003C6078" w:rsidRPr="00DB4A68" w:rsidRDefault="003C6078" w:rsidP="003C6078">
      <w:pPr>
        <w:ind w:firstLine="708"/>
        <w:contextualSpacing/>
        <w:jc w:val="both"/>
        <w:rPr>
          <w:rFonts w:cs="Times New Roman"/>
          <w:szCs w:val="24"/>
        </w:rPr>
      </w:pPr>
      <w:r w:rsidRPr="00DB4A68">
        <w:rPr>
          <w:rFonts w:cs="Times New Roman"/>
          <w:szCs w:val="24"/>
        </w:rPr>
        <w:t>Assim, segundo a visão de Mendonza (2011), a multa da pobreza pode</w:t>
      </w:r>
      <w:r w:rsidR="00504B6E">
        <w:rPr>
          <w:rFonts w:cs="Times New Roman"/>
          <w:szCs w:val="24"/>
        </w:rPr>
        <w:t xml:space="preserve"> então</w:t>
      </w:r>
      <w:r w:rsidRPr="00DB4A68">
        <w:rPr>
          <w:rFonts w:cs="Times New Roman"/>
          <w:szCs w:val="24"/>
        </w:rPr>
        <w:t xml:space="preserve"> ser definida como as formas de exclusão e marginalização que as pessoas pobres enfrentam quando participam do contexto do sistema de mercado.</w:t>
      </w:r>
    </w:p>
    <w:p w:rsidR="00315981" w:rsidRDefault="00504B6E" w:rsidP="00315981">
      <w:pPr>
        <w:ind w:firstLine="708"/>
        <w:contextualSpacing/>
        <w:jc w:val="both"/>
        <w:rPr>
          <w:rFonts w:cs="Times New Roman"/>
          <w:szCs w:val="24"/>
        </w:rPr>
      </w:pPr>
      <w:r>
        <w:rPr>
          <w:rFonts w:cs="Times New Roman"/>
          <w:szCs w:val="24"/>
        </w:rPr>
        <w:t xml:space="preserve">Para </w:t>
      </w:r>
      <w:r w:rsidR="00DB7467">
        <w:rPr>
          <w:rFonts w:cs="Times New Roman"/>
          <w:szCs w:val="24"/>
        </w:rPr>
        <w:t>este</w:t>
      </w:r>
      <w:r w:rsidR="00315981" w:rsidRPr="00DB4A68">
        <w:rPr>
          <w:rFonts w:cs="Times New Roman"/>
          <w:szCs w:val="24"/>
        </w:rPr>
        <w:t xml:space="preserve"> trabalho, fo</w:t>
      </w:r>
      <w:r w:rsidR="008F3B4A">
        <w:rPr>
          <w:rFonts w:cs="Times New Roman"/>
          <w:szCs w:val="24"/>
        </w:rPr>
        <w:t>i usado</w:t>
      </w:r>
      <w:r w:rsidR="00315981">
        <w:rPr>
          <w:rFonts w:cs="Times New Roman"/>
          <w:szCs w:val="24"/>
        </w:rPr>
        <w:t xml:space="preserve"> o modelo desenvolvido por </w:t>
      </w:r>
      <w:proofErr w:type="spellStart"/>
      <w:r w:rsidR="00315981">
        <w:rPr>
          <w:rFonts w:cs="Times New Roman"/>
          <w:szCs w:val="24"/>
        </w:rPr>
        <w:t>Prahalad</w:t>
      </w:r>
      <w:proofErr w:type="spellEnd"/>
      <w:r w:rsidR="00315981">
        <w:rPr>
          <w:rFonts w:cs="Times New Roman"/>
          <w:szCs w:val="24"/>
        </w:rPr>
        <w:t xml:space="preserve"> (2005), onde</w:t>
      </w:r>
      <w:r w:rsidR="00315981" w:rsidRPr="00DB4A68">
        <w:rPr>
          <w:rFonts w:cs="Times New Roman"/>
          <w:szCs w:val="24"/>
        </w:rPr>
        <w:t xml:space="preserve"> os gastos com alimentação </w:t>
      </w:r>
      <w:r w:rsidR="00315981">
        <w:rPr>
          <w:rFonts w:cs="Times New Roman"/>
          <w:szCs w:val="24"/>
        </w:rPr>
        <w:t xml:space="preserve">são utilizados </w:t>
      </w:r>
      <w:r w:rsidR="00315981" w:rsidRPr="00DB4A68">
        <w:rPr>
          <w:rFonts w:cs="Times New Roman"/>
          <w:szCs w:val="24"/>
        </w:rPr>
        <w:t xml:space="preserve">como possível exemplo de “gasto </w:t>
      </w:r>
      <w:r w:rsidR="00315981" w:rsidRPr="00DB4A68">
        <w:rPr>
          <w:rFonts w:cs="Times New Roman"/>
          <w:szCs w:val="24"/>
        </w:rPr>
        <w:lastRenderedPageBreak/>
        <w:t>catastrófico”, relacionando</w:t>
      </w:r>
      <w:r w:rsidR="00315981">
        <w:rPr>
          <w:rFonts w:cs="Times New Roman"/>
          <w:szCs w:val="24"/>
        </w:rPr>
        <w:t>-os</w:t>
      </w:r>
      <w:r w:rsidR="00315981" w:rsidRPr="00DB4A68">
        <w:rPr>
          <w:rFonts w:cs="Times New Roman"/>
          <w:szCs w:val="24"/>
        </w:rPr>
        <w:t xml:space="preserve"> </w:t>
      </w:r>
      <w:r w:rsidR="00315981">
        <w:rPr>
          <w:rFonts w:cs="Times New Roman"/>
          <w:szCs w:val="24"/>
        </w:rPr>
        <w:t>a</w:t>
      </w:r>
      <w:r w:rsidR="00315981" w:rsidRPr="00DB4A68">
        <w:rPr>
          <w:rFonts w:cs="Times New Roman"/>
          <w:szCs w:val="24"/>
        </w:rPr>
        <w:t xml:space="preserve">os outros itens de despesas </w:t>
      </w:r>
      <w:r w:rsidR="00315981">
        <w:rPr>
          <w:rFonts w:cs="Times New Roman"/>
          <w:szCs w:val="24"/>
        </w:rPr>
        <w:t xml:space="preserve">e </w:t>
      </w:r>
      <w:r w:rsidR="00315981" w:rsidRPr="00DB4A68">
        <w:rPr>
          <w:rFonts w:cs="Times New Roman"/>
          <w:szCs w:val="24"/>
        </w:rPr>
        <w:t xml:space="preserve">calculando seus preços em relação aos preços da própria alimentação. A multa da pobreza, de acordo com essa abordagem, se configura </w:t>
      </w:r>
      <w:r w:rsidR="00315981">
        <w:rPr>
          <w:rFonts w:cs="Times New Roman"/>
          <w:szCs w:val="24"/>
        </w:rPr>
        <w:t xml:space="preserve">de forma que </w:t>
      </w:r>
      <w:r w:rsidR="00315981" w:rsidRPr="00DB4A68">
        <w:rPr>
          <w:rFonts w:cs="Times New Roman"/>
          <w:szCs w:val="24"/>
        </w:rPr>
        <w:t>quando a variação desses preços relativos, no comparado entre pobres e não pobres</w:t>
      </w:r>
      <w:r w:rsidR="0024002F">
        <w:rPr>
          <w:rFonts w:cs="Times New Roman"/>
          <w:szCs w:val="24"/>
        </w:rPr>
        <w:t xml:space="preserve"> torne</w:t>
      </w:r>
      <w:r w:rsidR="0024002F" w:rsidRPr="00DB4A68">
        <w:rPr>
          <w:rFonts w:cs="Times New Roman"/>
          <w:szCs w:val="24"/>
        </w:rPr>
        <w:t>-se</w:t>
      </w:r>
      <w:r w:rsidR="00315981" w:rsidRPr="00DB4A68">
        <w:rPr>
          <w:rFonts w:cs="Times New Roman"/>
          <w:szCs w:val="24"/>
        </w:rPr>
        <w:t xml:space="preserve"> mais prejudic</w:t>
      </w:r>
      <w:r w:rsidR="00315981">
        <w:rPr>
          <w:rFonts w:cs="Times New Roman"/>
          <w:szCs w:val="24"/>
        </w:rPr>
        <w:t>ial para os domicílios pobres.</w:t>
      </w:r>
    </w:p>
    <w:p w:rsidR="00315981" w:rsidRDefault="00315981" w:rsidP="007B702C">
      <w:pPr>
        <w:ind w:firstLine="708"/>
        <w:contextualSpacing/>
        <w:jc w:val="both"/>
        <w:rPr>
          <w:rFonts w:cs="Times New Roman"/>
          <w:szCs w:val="24"/>
        </w:rPr>
      </w:pPr>
    </w:p>
    <w:p w:rsidR="00504B6E" w:rsidRPr="000E2D46" w:rsidRDefault="00504B6E" w:rsidP="000E2D46">
      <w:pPr>
        <w:pStyle w:val="PargrafodaLista"/>
        <w:numPr>
          <w:ilvl w:val="0"/>
          <w:numId w:val="1"/>
        </w:numPr>
        <w:spacing w:after="0"/>
        <w:jc w:val="both"/>
        <w:rPr>
          <w:rFonts w:cs="Times New Roman"/>
          <w:b/>
          <w:szCs w:val="24"/>
        </w:rPr>
      </w:pPr>
      <w:r w:rsidRPr="000E2D46">
        <w:rPr>
          <w:rFonts w:cs="Times New Roman"/>
          <w:b/>
          <w:szCs w:val="24"/>
        </w:rPr>
        <w:t xml:space="preserve"> DADOS</w:t>
      </w:r>
    </w:p>
    <w:p w:rsidR="00B678DB" w:rsidRDefault="00B678DB" w:rsidP="00B678DB">
      <w:pPr>
        <w:spacing w:after="0"/>
        <w:contextualSpacing/>
        <w:jc w:val="both"/>
        <w:rPr>
          <w:rFonts w:cs="Times New Roman"/>
          <w:b/>
          <w:szCs w:val="24"/>
        </w:rPr>
      </w:pPr>
      <w:r>
        <w:rPr>
          <w:rFonts w:cs="Times New Roman"/>
          <w:b/>
          <w:szCs w:val="24"/>
        </w:rPr>
        <w:t xml:space="preserve"> </w:t>
      </w:r>
    </w:p>
    <w:p w:rsidR="00B678DB" w:rsidRDefault="00B678DB" w:rsidP="00B678DB">
      <w:pPr>
        <w:spacing w:after="0"/>
        <w:contextualSpacing/>
        <w:jc w:val="both"/>
        <w:rPr>
          <w:rFonts w:cs="Times New Roman"/>
          <w:szCs w:val="24"/>
        </w:rPr>
      </w:pPr>
      <w:r>
        <w:rPr>
          <w:rFonts w:cs="Times New Roman"/>
          <w:b/>
          <w:szCs w:val="24"/>
        </w:rPr>
        <w:t xml:space="preserve">     </w:t>
      </w:r>
      <w:r w:rsidR="00504B6E">
        <w:rPr>
          <w:rFonts w:cs="Times New Roman"/>
          <w:szCs w:val="24"/>
        </w:rPr>
        <w:t xml:space="preserve">   </w:t>
      </w:r>
      <w:r w:rsidR="000744EC" w:rsidRPr="00DB4A68">
        <w:rPr>
          <w:rFonts w:cs="Times New Roman"/>
          <w:szCs w:val="24"/>
        </w:rPr>
        <w:t xml:space="preserve">Os dados </w:t>
      </w:r>
      <w:r w:rsidR="008F3B4A">
        <w:rPr>
          <w:rFonts w:cs="Times New Roman"/>
          <w:szCs w:val="24"/>
        </w:rPr>
        <w:t>usados neste artigo foram</w:t>
      </w:r>
      <w:r w:rsidR="000744EC" w:rsidRPr="00DB4A68">
        <w:rPr>
          <w:rFonts w:cs="Times New Roman"/>
          <w:szCs w:val="24"/>
        </w:rPr>
        <w:t xml:space="preserve"> extraídos das tabelas de despesas da POF.</w:t>
      </w:r>
      <w:r w:rsidRPr="00B678DB">
        <w:rPr>
          <w:rFonts w:cs="Times New Roman"/>
          <w:szCs w:val="24"/>
        </w:rPr>
        <w:t xml:space="preserve"> </w:t>
      </w:r>
      <w:r>
        <w:rPr>
          <w:rFonts w:cs="Times New Roman"/>
          <w:szCs w:val="24"/>
        </w:rPr>
        <w:t>A investigação então foi</w:t>
      </w:r>
      <w:r w:rsidRPr="00DB4A68">
        <w:rPr>
          <w:rFonts w:cs="Times New Roman"/>
          <w:szCs w:val="24"/>
        </w:rPr>
        <w:t xml:space="preserve"> feita para </w:t>
      </w:r>
      <w:r w:rsidR="00DB7467">
        <w:rPr>
          <w:rFonts w:cs="Times New Roman"/>
          <w:szCs w:val="24"/>
        </w:rPr>
        <w:t xml:space="preserve">o Estado de </w:t>
      </w:r>
      <w:r w:rsidRPr="00DB4A68">
        <w:rPr>
          <w:rFonts w:cs="Times New Roman"/>
          <w:szCs w:val="24"/>
        </w:rPr>
        <w:t>Sergipe e seus estratos Capital, Urbano sem capital e Rural, segundo a estratificação da Pesquisa de Orçamento Famil</w:t>
      </w:r>
      <w:r>
        <w:rPr>
          <w:rFonts w:cs="Times New Roman"/>
          <w:szCs w:val="24"/>
        </w:rPr>
        <w:t>iar (POF), realizada pelo IBGE,</w:t>
      </w:r>
      <w:r w:rsidRPr="00DB4A68">
        <w:rPr>
          <w:rFonts w:cs="Times New Roman"/>
          <w:szCs w:val="24"/>
        </w:rPr>
        <w:t xml:space="preserve"> nas quais constam as informações sobre despesas com</w:t>
      </w:r>
      <w:r>
        <w:rPr>
          <w:rFonts w:cs="Times New Roman"/>
          <w:szCs w:val="24"/>
        </w:rPr>
        <w:t xml:space="preserve"> alimentação e de outros grupo</w:t>
      </w:r>
      <w:r w:rsidRPr="00DB4A68">
        <w:rPr>
          <w:rFonts w:cs="Times New Roman"/>
          <w:szCs w:val="24"/>
        </w:rPr>
        <w:t>s</w:t>
      </w:r>
      <w:r>
        <w:rPr>
          <w:rFonts w:cs="Times New Roman"/>
          <w:szCs w:val="24"/>
        </w:rPr>
        <w:t>.</w:t>
      </w:r>
    </w:p>
    <w:p w:rsidR="000744EC" w:rsidRPr="00DB4A68" w:rsidRDefault="00B678DB" w:rsidP="00504B6E">
      <w:pPr>
        <w:spacing w:after="0"/>
        <w:contextualSpacing/>
        <w:jc w:val="both"/>
        <w:rPr>
          <w:rFonts w:cs="Times New Roman"/>
          <w:szCs w:val="24"/>
        </w:rPr>
      </w:pPr>
      <w:r>
        <w:rPr>
          <w:rFonts w:cs="Times New Roman"/>
          <w:szCs w:val="24"/>
        </w:rPr>
        <w:t xml:space="preserve">          </w:t>
      </w:r>
      <w:r w:rsidR="000744EC" w:rsidRPr="00DB4A68">
        <w:rPr>
          <w:rFonts w:cs="Times New Roman"/>
          <w:szCs w:val="24"/>
        </w:rPr>
        <w:t xml:space="preserve"> </w:t>
      </w:r>
      <w:r>
        <w:rPr>
          <w:rFonts w:cs="Times New Roman"/>
          <w:szCs w:val="24"/>
        </w:rPr>
        <w:t>A</w:t>
      </w:r>
      <w:r w:rsidR="008F3B4A">
        <w:rPr>
          <w:rFonts w:cs="Times New Roman"/>
          <w:szCs w:val="24"/>
        </w:rPr>
        <w:t>s</w:t>
      </w:r>
      <w:r w:rsidR="000744EC" w:rsidRPr="00DB4A68">
        <w:rPr>
          <w:rFonts w:cs="Times New Roman"/>
          <w:szCs w:val="24"/>
        </w:rPr>
        <w:t xml:space="preserve"> despesas com alimentação </w:t>
      </w:r>
      <w:r>
        <w:rPr>
          <w:rFonts w:cs="Times New Roman"/>
          <w:szCs w:val="24"/>
        </w:rPr>
        <w:t>estão</w:t>
      </w:r>
      <w:r w:rsidR="000744EC" w:rsidRPr="00DB4A68">
        <w:rPr>
          <w:rFonts w:cs="Times New Roman"/>
          <w:szCs w:val="24"/>
        </w:rPr>
        <w:t xml:space="preserve">, muitas vezes, distribuídas em grupos, os quais não são exatamente os mesmos em cada ano. Por isso, as informações relativas aos grupos de alimentos </w:t>
      </w:r>
      <w:r w:rsidR="008F3B4A">
        <w:rPr>
          <w:rFonts w:cs="Times New Roman"/>
          <w:szCs w:val="24"/>
        </w:rPr>
        <w:t>foram</w:t>
      </w:r>
      <w:r w:rsidR="000744EC" w:rsidRPr="00DB4A68">
        <w:rPr>
          <w:rFonts w:cs="Times New Roman"/>
          <w:szCs w:val="24"/>
        </w:rPr>
        <w:t xml:space="preserve"> extraídas seguindo-se uma tabela de conversão, que reordena os grupos da tabela “Caderneta de Despesa” da POF 2008-</w:t>
      </w:r>
      <w:r w:rsidR="000744EC">
        <w:rPr>
          <w:rFonts w:cs="Times New Roman"/>
          <w:szCs w:val="24"/>
        </w:rPr>
        <w:t>200</w:t>
      </w:r>
      <w:r w:rsidR="000744EC" w:rsidRPr="00DB4A68">
        <w:rPr>
          <w:rFonts w:cs="Times New Roman"/>
          <w:szCs w:val="24"/>
        </w:rPr>
        <w:t>9 conforme os grupos da mesma tabela da POF 2002-</w:t>
      </w:r>
      <w:r w:rsidR="000744EC">
        <w:rPr>
          <w:rFonts w:cs="Times New Roman"/>
          <w:szCs w:val="24"/>
        </w:rPr>
        <w:t>200</w:t>
      </w:r>
      <w:r w:rsidR="000744EC" w:rsidRPr="00DB4A68">
        <w:rPr>
          <w:rFonts w:cs="Times New Roman"/>
          <w:szCs w:val="24"/>
        </w:rPr>
        <w:t>3.</w:t>
      </w:r>
    </w:p>
    <w:p w:rsidR="000744EC" w:rsidRPr="00DB4A68" w:rsidRDefault="000744EC" w:rsidP="007B702C">
      <w:pPr>
        <w:spacing w:after="0"/>
        <w:ind w:firstLine="708"/>
        <w:contextualSpacing/>
        <w:jc w:val="both"/>
        <w:rPr>
          <w:rFonts w:cs="Times New Roman"/>
          <w:szCs w:val="24"/>
        </w:rPr>
      </w:pPr>
      <w:r w:rsidRPr="00DB4A68">
        <w:rPr>
          <w:rFonts w:cs="Times New Roman"/>
          <w:szCs w:val="24"/>
        </w:rPr>
        <w:t xml:space="preserve">Quanto às informações monetárias (despesas, renda total domiciliar e renda domiciliar </w:t>
      </w:r>
      <w:r w:rsidRPr="00DB4A68">
        <w:rPr>
          <w:rFonts w:cs="Times New Roman"/>
          <w:i/>
          <w:szCs w:val="24"/>
        </w:rPr>
        <w:t>per capita</w:t>
      </w:r>
      <w:r w:rsidRPr="00DB4A68">
        <w:rPr>
          <w:rFonts w:cs="Times New Roman"/>
          <w:szCs w:val="24"/>
        </w:rPr>
        <w:t xml:space="preserve">), estas foram </w:t>
      </w:r>
      <w:proofErr w:type="gramStart"/>
      <w:r w:rsidRPr="00DB4A68">
        <w:rPr>
          <w:rFonts w:cs="Times New Roman"/>
          <w:szCs w:val="24"/>
        </w:rPr>
        <w:t>deflacionados</w:t>
      </w:r>
      <w:proofErr w:type="gramEnd"/>
      <w:r w:rsidRPr="00DB4A68">
        <w:rPr>
          <w:rFonts w:cs="Times New Roman"/>
          <w:szCs w:val="24"/>
        </w:rPr>
        <w:t xml:space="preserve"> pelo INPC - alimentos e bebidas, calculado e divulgado pelo Instituto Brasileiro de Geografia e Estatística, Sistema Nacional de Índices de Preços ao Consumidor (IBGE/SNIPC). A data-base utilizada para </w:t>
      </w:r>
      <w:r w:rsidR="008F3B4A">
        <w:rPr>
          <w:rFonts w:cs="Times New Roman"/>
          <w:szCs w:val="24"/>
        </w:rPr>
        <w:t xml:space="preserve">esta deflação </w:t>
      </w:r>
      <w:r w:rsidRPr="00DB4A68">
        <w:rPr>
          <w:rFonts w:cs="Times New Roman"/>
          <w:szCs w:val="24"/>
        </w:rPr>
        <w:t xml:space="preserve">foi janeiro de 2003, data essa utilizada para o </w:t>
      </w:r>
      <w:proofErr w:type="spellStart"/>
      <w:r w:rsidRPr="00DB4A68">
        <w:rPr>
          <w:rFonts w:cs="Times New Roman"/>
          <w:szCs w:val="24"/>
        </w:rPr>
        <w:t>deflacionamento</w:t>
      </w:r>
      <w:proofErr w:type="spellEnd"/>
      <w:r w:rsidRPr="00DB4A68">
        <w:rPr>
          <w:rFonts w:cs="Times New Roman"/>
          <w:szCs w:val="24"/>
        </w:rPr>
        <w:t xml:space="preserve"> pelo IBGE dos dados de diversas datas dentro da mesma tabela “Caderneta de Despesa” da POF 2002-</w:t>
      </w:r>
      <w:r>
        <w:rPr>
          <w:rFonts w:cs="Times New Roman"/>
          <w:szCs w:val="24"/>
        </w:rPr>
        <w:t>200</w:t>
      </w:r>
      <w:r w:rsidRPr="00DB4A68">
        <w:rPr>
          <w:rFonts w:cs="Times New Roman"/>
          <w:szCs w:val="24"/>
        </w:rPr>
        <w:t>3.</w:t>
      </w:r>
    </w:p>
    <w:p w:rsidR="000744EC" w:rsidRPr="00DB4A68" w:rsidRDefault="000744EC" w:rsidP="007B702C">
      <w:pPr>
        <w:spacing w:after="0"/>
        <w:ind w:firstLine="708"/>
        <w:contextualSpacing/>
        <w:jc w:val="both"/>
        <w:rPr>
          <w:rFonts w:cs="Times New Roman"/>
          <w:szCs w:val="24"/>
        </w:rPr>
      </w:pPr>
      <w:r w:rsidRPr="00DB4A68">
        <w:rPr>
          <w:rFonts w:cs="Times New Roman"/>
          <w:szCs w:val="24"/>
        </w:rPr>
        <w:t xml:space="preserve">Para o cálculo dos preços </w:t>
      </w:r>
      <w:r w:rsidR="008F3B4A">
        <w:rPr>
          <w:rFonts w:cs="Times New Roman"/>
          <w:szCs w:val="24"/>
        </w:rPr>
        <w:t>foi necessário proceder a</w:t>
      </w:r>
      <w:r w:rsidRPr="00DB4A68">
        <w:rPr>
          <w:rFonts w:cs="Times New Roman"/>
          <w:szCs w:val="24"/>
        </w:rPr>
        <w:t xml:space="preserve"> </w:t>
      </w:r>
      <w:r w:rsidR="008F3B4A">
        <w:rPr>
          <w:rFonts w:cs="Times New Roman"/>
          <w:szCs w:val="24"/>
        </w:rPr>
        <w:t>um cálculo especifico</w:t>
      </w:r>
      <w:r w:rsidRPr="00DB4A68">
        <w:rPr>
          <w:rFonts w:cs="Times New Roman"/>
          <w:szCs w:val="24"/>
        </w:rPr>
        <w:t>, conforme o formato das informações em cada POF. Isto porque</w:t>
      </w:r>
      <w:r w:rsidR="008F3B4A">
        <w:rPr>
          <w:rFonts w:cs="Times New Roman"/>
          <w:szCs w:val="24"/>
        </w:rPr>
        <w:t>,</w:t>
      </w:r>
      <w:r w:rsidRPr="00DB4A68">
        <w:rPr>
          <w:rFonts w:cs="Times New Roman"/>
          <w:szCs w:val="24"/>
        </w:rPr>
        <w:t xml:space="preserve"> o preço não foi perguntado nos questionários das </w:t>
      </w:r>
      <w:proofErr w:type="spellStart"/>
      <w:r w:rsidRPr="00DB4A68">
        <w:rPr>
          <w:rFonts w:cs="Times New Roman"/>
          <w:szCs w:val="24"/>
        </w:rPr>
        <w:t>POFs</w:t>
      </w:r>
      <w:proofErr w:type="spellEnd"/>
      <w:r w:rsidRPr="00DB4A68">
        <w:rPr>
          <w:rFonts w:cs="Times New Roman"/>
          <w:szCs w:val="24"/>
        </w:rPr>
        <w:t>. Para calculá-lo na POF 2002-</w:t>
      </w:r>
      <w:r>
        <w:rPr>
          <w:rFonts w:cs="Times New Roman"/>
          <w:szCs w:val="24"/>
        </w:rPr>
        <w:t>200</w:t>
      </w:r>
      <w:r w:rsidRPr="00DB4A68">
        <w:rPr>
          <w:rFonts w:cs="Times New Roman"/>
          <w:szCs w:val="24"/>
        </w:rPr>
        <w:t xml:space="preserve">3, dividiu-se o valor da despesa deflacionado anualizado por 12 e o resultado foi dividido pelo produto da quantidade </w:t>
      </w:r>
      <w:r w:rsidR="008F3B4A">
        <w:rPr>
          <w:rFonts w:cs="Times New Roman"/>
          <w:szCs w:val="24"/>
        </w:rPr>
        <w:t>(</w:t>
      </w:r>
      <w:r w:rsidRPr="00DB4A68">
        <w:rPr>
          <w:rFonts w:cs="Times New Roman"/>
          <w:szCs w:val="24"/>
        </w:rPr>
        <w:t>em kg</w:t>
      </w:r>
      <w:r w:rsidR="008F3B4A">
        <w:rPr>
          <w:rFonts w:cs="Times New Roman"/>
          <w:szCs w:val="24"/>
        </w:rPr>
        <w:t>)</w:t>
      </w:r>
      <w:r w:rsidRPr="00DB4A68">
        <w:rPr>
          <w:rFonts w:cs="Times New Roman"/>
          <w:szCs w:val="24"/>
        </w:rPr>
        <w:t xml:space="preserve"> por </w:t>
      </w:r>
      <w:proofErr w:type="gramStart"/>
      <w:r w:rsidRPr="00DB4A68">
        <w:rPr>
          <w:rFonts w:cs="Times New Roman"/>
          <w:szCs w:val="24"/>
        </w:rPr>
        <w:t>4</w:t>
      </w:r>
      <w:proofErr w:type="gramEnd"/>
      <w:r w:rsidRPr="00DB4A68">
        <w:rPr>
          <w:rFonts w:cs="Times New Roman"/>
          <w:szCs w:val="24"/>
        </w:rPr>
        <w:t>. Para calculá-lo na POF 2008-</w:t>
      </w:r>
      <w:r>
        <w:rPr>
          <w:rFonts w:cs="Times New Roman"/>
          <w:szCs w:val="24"/>
        </w:rPr>
        <w:t>200</w:t>
      </w:r>
      <w:r w:rsidRPr="00DB4A68">
        <w:rPr>
          <w:rFonts w:cs="Times New Roman"/>
          <w:szCs w:val="24"/>
        </w:rPr>
        <w:t>9, dividiu-se o valor da despesa anualizado e expandido pelo fator de expansão. O resultado foi dividido por 12, cujo quociente, foi dividido pelo produto entre a quantidade adquirida</w:t>
      </w:r>
      <w:r w:rsidR="008F3B4A">
        <w:rPr>
          <w:rFonts w:cs="Times New Roman"/>
          <w:szCs w:val="24"/>
        </w:rPr>
        <w:t xml:space="preserve"> (em kg)</w:t>
      </w:r>
      <w:r w:rsidRPr="00DB4A68">
        <w:rPr>
          <w:rFonts w:cs="Times New Roman"/>
          <w:szCs w:val="24"/>
        </w:rPr>
        <w:t xml:space="preserve"> e </w:t>
      </w:r>
      <w:proofErr w:type="gramStart"/>
      <w:r w:rsidRPr="00DB4A68">
        <w:rPr>
          <w:rFonts w:cs="Times New Roman"/>
          <w:szCs w:val="24"/>
        </w:rPr>
        <w:t>4</w:t>
      </w:r>
      <w:proofErr w:type="gramEnd"/>
      <w:r w:rsidRPr="00DB4A68">
        <w:rPr>
          <w:rFonts w:cs="Times New Roman"/>
          <w:szCs w:val="24"/>
        </w:rPr>
        <w:t>.</w:t>
      </w:r>
    </w:p>
    <w:p w:rsidR="000744EC" w:rsidRPr="00DB4A68" w:rsidRDefault="000744EC" w:rsidP="007B702C">
      <w:pPr>
        <w:spacing w:after="0"/>
        <w:ind w:firstLine="708"/>
        <w:contextualSpacing/>
        <w:jc w:val="both"/>
        <w:rPr>
          <w:rFonts w:cs="Times New Roman"/>
          <w:szCs w:val="24"/>
        </w:rPr>
      </w:pPr>
      <w:r w:rsidRPr="00DB4A68">
        <w:rPr>
          <w:rFonts w:cs="Times New Roman"/>
          <w:szCs w:val="24"/>
        </w:rPr>
        <w:lastRenderedPageBreak/>
        <w:t>Cabe notar que sendo preços pagos uma variável informada pelos entrevistados, a análise feita no artigo segue a ótica da demanda.</w:t>
      </w:r>
    </w:p>
    <w:p w:rsidR="000744EC" w:rsidRPr="00DB4A68" w:rsidRDefault="000744EC" w:rsidP="007B702C">
      <w:pPr>
        <w:spacing w:after="0"/>
        <w:ind w:firstLine="708"/>
        <w:contextualSpacing/>
        <w:jc w:val="both"/>
        <w:rPr>
          <w:rFonts w:cs="Times New Roman"/>
          <w:szCs w:val="24"/>
        </w:rPr>
      </w:pPr>
      <w:r w:rsidRPr="00DB4A68">
        <w:rPr>
          <w:rFonts w:cs="Times New Roman"/>
          <w:szCs w:val="24"/>
        </w:rPr>
        <w:t>As informações de quantidades adquiridas em quilograma, por sua vez, são aquelas fornecidas na própria base de dados. As conversões das diversas unidades de medidas de alimentos para quilograma, portanto, são feitas pelo IBGE.</w:t>
      </w:r>
    </w:p>
    <w:p w:rsidR="000744EC" w:rsidRPr="00DB4A68" w:rsidRDefault="000744EC" w:rsidP="007B702C">
      <w:pPr>
        <w:spacing w:after="0"/>
        <w:ind w:firstLine="708"/>
        <w:contextualSpacing/>
        <w:jc w:val="both"/>
        <w:rPr>
          <w:rFonts w:cs="Times New Roman"/>
          <w:szCs w:val="24"/>
        </w:rPr>
      </w:pPr>
      <w:r w:rsidRPr="00DB4A68">
        <w:rPr>
          <w:rFonts w:cs="Times New Roman"/>
          <w:szCs w:val="24"/>
        </w:rPr>
        <w:t>Observe-se que não se pôde trabalhar com informações para agregados de alimentos (grupos 99 da POF 2002-</w:t>
      </w:r>
      <w:r>
        <w:rPr>
          <w:rFonts w:cs="Times New Roman"/>
          <w:szCs w:val="24"/>
        </w:rPr>
        <w:t>200</w:t>
      </w:r>
      <w:r w:rsidRPr="00DB4A68">
        <w:rPr>
          <w:rFonts w:cs="Times New Roman"/>
          <w:szCs w:val="24"/>
        </w:rPr>
        <w:t>3 e 90 da POF 2008-</w:t>
      </w:r>
      <w:r>
        <w:rPr>
          <w:rFonts w:cs="Times New Roman"/>
          <w:szCs w:val="24"/>
        </w:rPr>
        <w:t>200</w:t>
      </w:r>
      <w:r w:rsidRPr="00DB4A68">
        <w:rPr>
          <w:rFonts w:cs="Times New Roman"/>
          <w:szCs w:val="24"/>
        </w:rPr>
        <w:t xml:space="preserve">9), porque o IBGE não procedeu à conversão das quantidades para quilograma, o que inviabilizou tanto a extração de informações de quantidades – dada nossa necessidade de padronização para comparação – quanto o cálculo dos preços para esses grupos de alimentos, que </w:t>
      </w:r>
      <w:r w:rsidR="008F3B4A">
        <w:rPr>
          <w:rFonts w:cs="Times New Roman"/>
          <w:szCs w:val="24"/>
        </w:rPr>
        <w:t>foi como visto acima</w:t>
      </w:r>
      <w:r w:rsidRPr="00DB4A68">
        <w:rPr>
          <w:rFonts w:cs="Times New Roman"/>
          <w:szCs w:val="24"/>
        </w:rPr>
        <w:t xml:space="preserve"> baseado na informação da quantidade em quilograma.</w:t>
      </w:r>
    </w:p>
    <w:p w:rsidR="000744EC" w:rsidRDefault="000744EC" w:rsidP="007B702C">
      <w:pPr>
        <w:ind w:firstLine="708"/>
        <w:contextualSpacing/>
        <w:jc w:val="both"/>
      </w:pPr>
      <w:r w:rsidRPr="00DB4A68">
        <w:rPr>
          <w:rFonts w:cs="Times New Roman"/>
          <w:szCs w:val="24"/>
        </w:rPr>
        <w:t xml:space="preserve">A identificação de domicílios pobres e a consequente distinção entre esses e os não pobres foi baseada na combinação de um critério objetivo/quantitativo </w:t>
      </w:r>
      <w:r w:rsidR="008F3B4A">
        <w:rPr>
          <w:rFonts w:cs="Times New Roman"/>
          <w:szCs w:val="24"/>
        </w:rPr>
        <w:t>e um</w:t>
      </w:r>
      <w:r w:rsidRPr="00DB4A68">
        <w:rPr>
          <w:rFonts w:cs="Times New Roman"/>
          <w:szCs w:val="24"/>
        </w:rPr>
        <w:t xml:space="preserve"> subjetivo/qualitativo. Como critério objetivo adotou-se a i</w:t>
      </w:r>
      <w:r w:rsidRPr="00DB4A68">
        <w:rPr>
          <w:rFonts w:eastAsia="Times New Roman" w:cs="Times New Roman"/>
          <w:szCs w:val="24"/>
        </w:rPr>
        <w:t>nsuficiência calórica, entendendo-se essa como saldo calórico negativo entre a caloria estimada para a quantidade e tipo de alimentos adquiridos e as necessidades calóricas requeridas pelos moradores do domicílio, por suas características antropométricas e de atividade físicas. Os critérios para tanto</w:t>
      </w:r>
      <w:r w:rsidRPr="00DB4A68">
        <w:rPr>
          <w:rFonts w:cs="Times New Roman"/>
          <w:szCs w:val="24"/>
        </w:rPr>
        <w:t xml:space="preserve"> foram </w:t>
      </w:r>
      <w:r w:rsidR="008F3B4A">
        <w:rPr>
          <w:rFonts w:cs="Times New Roman"/>
          <w:szCs w:val="24"/>
        </w:rPr>
        <w:t>destacados pela</w:t>
      </w:r>
      <w:r w:rsidRPr="00DB4A68">
        <w:rPr>
          <w:rFonts w:cs="Times New Roman"/>
          <w:szCs w:val="24"/>
        </w:rPr>
        <w:t xml:space="preserve"> </w:t>
      </w:r>
      <w:proofErr w:type="spellStart"/>
      <w:r w:rsidRPr="00DB4A68">
        <w:rPr>
          <w:rFonts w:cs="Times New Roman"/>
          <w:szCs w:val="24"/>
        </w:rPr>
        <w:t>Food</w:t>
      </w:r>
      <w:proofErr w:type="spellEnd"/>
      <w:r w:rsidRPr="00DB4A68">
        <w:rPr>
          <w:rFonts w:cs="Times New Roman"/>
          <w:szCs w:val="24"/>
        </w:rPr>
        <w:t xml:space="preserve"> </w:t>
      </w:r>
      <w:proofErr w:type="spellStart"/>
      <w:r w:rsidRPr="00DB4A68">
        <w:rPr>
          <w:rFonts w:cs="Times New Roman"/>
          <w:szCs w:val="24"/>
        </w:rPr>
        <w:t>and</w:t>
      </w:r>
      <w:proofErr w:type="spellEnd"/>
      <w:r w:rsidRPr="00DB4A68">
        <w:rPr>
          <w:rFonts w:cs="Times New Roman"/>
          <w:szCs w:val="24"/>
        </w:rPr>
        <w:t xml:space="preserve"> </w:t>
      </w:r>
      <w:proofErr w:type="spellStart"/>
      <w:r w:rsidRPr="00DB4A68">
        <w:rPr>
          <w:rFonts w:cs="Times New Roman"/>
          <w:szCs w:val="24"/>
        </w:rPr>
        <w:t>Drug</w:t>
      </w:r>
      <w:proofErr w:type="spellEnd"/>
      <w:r w:rsidRPr="00DB4A68">
        <w:rPr>
          <w:rFonts w:cs="Times New Roman"/>
          <w:szCs w:val="24"/>
        </w:rPr>
        <w:t xml:space="preserve"> </w:t>
      </w:r>
      <w:proofErr w:type="spellStart"/>
      <w:r w:rsidRPr="00DB4A68">
        <w:rPr>
          <w:rFonts w:cs="Times New Roman"/>
          <w:szCs w:val="24"/>
        </w:rPr>
        <w:t>Administration</w:t>
      </w:r>
      <w:proofErr w:type="spellEnd"/>
      <w:r w:rsidRPr="00DB4A68">
        <w:rPr>
          <w:rFonts w:cs="Times New Roman"/>
          <w:szCs w:val="24"/>
        </w:rPr>
        <w:t xml:space="preserve"> (FDA). Como critério subjetivo</w:t>
      </w:r>
      <w:r w:rsidR="008F3B4A">
        <w:rPr>
          <w:rFonts w:eastAsia="Times New Roman" w:cs="Times New Roman"/>
          <w:szCs w:val="24"/>
        </w:rPr>
        <w:t xml:space="preserve"> considerou-se</w:t>
      </w:r>
      <w:r w:rsidRPr="00DB4A68">
        <w:rPr>
          <w:rFonts w:eastAsia="Times New Roman" w:cs="Times New Roman"/>
          <w:szCs w:val="24"/>
        </w:rPr>
        <w:t xml:space="preserve"> a insatisfação com a alimentação, em termos de quantidade adquirida e qualidade dos alimentos. </w:t>
      </w:r>
      <w:r w:rsidR="008F3B4A">
        <w:rPr>
          <w:rFonts w:eastAsia="Times New Roman" w:cs="Times New Roman"/>
          <w:szCs w:val="24"/>
        </w:rPr>
        <w:t>Para isto</w:t>
      </w:r>
      <w:r w:rsidRPr="00DB4A68">
        <w:rPr>
          <w:rFonts w:eastAsia="Times New Roman" w:cs="Times New Roman"/>
          <w:szCs w:val="24"/>
        </w:rPr>
        <w:t>, foram tomados como dados as declarações dos respondentes do domicílio, dizendo-se tanto insatisfeitos com as quantidades, quanto com a qualidade do</w:t>
      </w:r>
      <w:r>
        <w:rPr>
          <w:rFonts w:eastAsia="Times New Roman" w:cs="Times New Roman"/>
          <w:szCs w:val="24"/>
        </w:rPr>
        <w:t xml:space="preserve">s alimentos. Consequentemente, </w:t>
      </w:r>
      <w:r w:rsidRPr="00DB4A68">
        <w:t xml:space="preserve">os domicílios considerados pobres são aqueles que, simultaneamente, indicaram insatisfação quanto ao tipo e quantidade de alimentos adquiridos e que apresentaram insuficiência calórica. Por associação, os domicílios não pobres são os que indicaram serem satisfeitos quanto </w:t>
      </w:r>
      <w:r w:rsidR="008F3B4A" w:rsidRPr="00DB4A68">
        <w:t>à</w:t>
      </w:r>
      <w:r w:rsidRPr="00DB4A68">
        <w:t xml:space="preserve"> alimentação, e apresentaram suficiência calórica.</w:t>
      </w:r>
    </w:p>
    <w:p w:rsidR="008F3B4A" w:rsidRDefault="008F3B4A" w:rsidP="007B702C">
      <w:pPr>
        <w:ind w:firstLine="708"/>
        <w:contextualSpacing/>
        <w:jc w:val="both"/>
      </w:pPr>
    </w:p>
    <w:p w:rsidR="000E2D46" w:rsidRPr="000E2D46" w:rsidRDefault="008F3B4A" w:rsidP="000E2D46">
      <w:pPr>
        <w:pStyle w:val="PargrafodaLista"/>
        <w:numPr>
          <w:ilvl w:val="0"/>
          <w:numId w:val="1"/>
        </w:numPr>
        <w:jc w:val="both"/>
        <w:rPr>
          <w:b/>
        </w:rPr>
      </w:pPr>
      <w:r w:rsidRPr="000E2D46">
        <w:rPr>
          <w:b/>
        </w:rPr>
        <w:t>METODOLOGIA</w:t>
      </w:r>
    </w:p>
    <w:p w:rsidR="00743C7F" w:rsidRDefault="00B678DB" w:rsidP="00B678DB">
      <w:pPr>
        <w:contextualSpacing/>
        <w:jc w:val="both"/>
        <w:rPr>
          <w:rFonts w:cs="Times New Roman"/>
          <w:szCs w:val="24"/>
        </w:rPr>
      </w:pPr>
      <w:r>
        <w:t xml:space="preserve">           </w:t>
      </w:r>
      <w:r w:rsidR="00D63B93">
        <w:rPr>
          <w:rFonts w:cs="Times New Roman"/>
          <w:szCs w:val="24"/>
        </w:rPr>
        <w:t xml:space="preserve">Para este trabalho, utilizamos o indicador, para a multa da pobreza, desenvolvido por </w:t>
      </w:r>
      <w:proofErr w:type="spellStart"/>
      <w:r w:rsidR="00D63B93">
        <w:rPr>
          <w:rFonts w:cs="Times New Roman"/>
          <w:szCs w:val="24"/>
        </w:rPr>
        <w:t>Prahalad</w:t>
      </w:r>
      <w:proofErr w:type="spellEnd"/>
      <w:r w:rsidR="00D63B93">
        <w:rPr>
          <w:rFonts w:cs="Times New Roman"/>
          <w:szCs w:val="24"/>
        </w:rPr>
        <w:t xml:space="preserve"> (2005)</w:t>
      </w:r>
      <w:r w:rsidR="00743C7F" w:rsidRPr="00743C7F">
        <w:rPr>
          <w:rFonts w:cs="Times New Roman"/>
          <w:szCs w:val="24"/>
        </w:rPr>
        <w:t xml:space="preserve"> </w:t>
      </w:r>
      <w:r w:rsidR="00743C7F">
        <w:rPr>
          <w:rFonts w:cs="Times New Roman"/>
          <w:szCs w:val="24"/>
        </w:rPr>
        <w:t xml:space="preserve">com </w:t>
      </w:r>
      <w:r w:rsidR="00743C7F" w:rsidRPr="00DB4A68">
        <w:rPr>
          <w:rFonts w:cs="Times New Roman"/>
          <w:szCs w:val="24"/>
        </w:rPr>
        <w:t>dados referentes aos preços pagos pelos domicílios pobres e não pobres dos três estratos do estado de Sergipe</w:t>
      </w:r>
      <w:r>
        <w:rPr>
          <w:rFonts w:cs="Times New Roman"/>
          <w:szCs w:val="24"/>
        </w:rPr>
        <w:t xml:space="preserve"> (</w:t>
      </w:r>
      <w:r w:rsidR="00743C7F">
        <w:rPr>
          <w:rFonts w:cs="Times New Roman"/>
          <w:szCs w:val="24"/>
        </w:rPr>
        <w:t>Rural, Urbano, Capital)</w:t>
      </w:r>
      <w:r w:rsidR="00743C7F" w:rsidRPr="00DB4A68">
        <w:rPr>
          <w:rFonts w:cs="Times New Roman"/>
          <w:szCs w:val="24"/>
        </w:rPr>
        <w:t xml:space="preserve"> em relação aos grupos de despesas presentes nas </w:t>
      </w:r>
      <w:proofErr w:type="spellStart"/>
      <w:r w:rsidR="00743C7F" w:rsidRPr="00DB4A68">
        <w:rPr>
          <w:rFonts w:cs="Times New Roman"/>
          <w:szCs w:val="24"/>
        </w:rPr>
        <w:t>POFs</w:t>
      </w:r>
      <w:proofErr w:type="spellEnd"/>
      <w:r w:rsidR="00743C7F" w:rsidRPr="00DB4A68">
        <w:rPr>
          <w:rFonts w:cs="Times New Roman"/>
          <w:szCs w:val="24"/>
        </w:rPr>
        <w:t>.</w:t>
      </w:r>
      <w:r w:rsidR="00D63B93">
        <w:rPr>
          <w:rFonts w:cs="Times New Roman"/>
          <w:szCs w:val="24"/>
        </w:rPr>
        <w:t xml:space="preserve"> Assim tratou-se</w:t>
      </w:r>
      <w:r w:rsidR="000744EC" w:rsidRPr="00DB4A68">
        <w:rPr>
          <w:rFonts w:cs="Times New Roman"/>
          <w:szCs w:val="24"/>
        </w:rPr>
        <w:t xml:space="preserve"> a multa da pobreza em termos de o quanto</w:t>
      </w:r>
      <w:r w:rsidR="00D63B93">
        <w:rPr>
          <w:rFonts w:cs="Times New Roman"/>
          <w:szCs w:val="24"/>
        </w:rPr>
        <w:t xml:space="preserve"> a</w:t>
      </w:r>
      <w:r w:rsidR="000744EC" w:rsidRPr="00DB4A68">
        <w:rPr>
          <w:rFonts w:cs="Times New Roman"/>
          <w:szCs w:val="24"/>
        </w:rPr>
        <w:t xml:space="preserve"> variaç</w:t>
      </w:r>
      <w:r w:rsidR="00D63B93">
        <w:rPr>
          <w:rFonts w:cs="Times New Roman"/>
          <w:szCs w:val="24"/>
        </w:rPr>
        <w:t>ão de preços pode</w:t>
      </w:r>
      <w:r w:rsidR="000744EC" w:rsidRPr="00DB4A68">
        <w:rPr>
          <w:rFonts w:cs="Times New Roman"/>
          <w:szCs w:val="24"/>
        </w:rPr>
        <w:t xml:space="preserve"> ter contribuído para piorar o quadro de </w:t>
      </w:r>
      <w:r w:rsidR="000744EC" w:rsidRPr="00DB4A68">
        <w:rPr>
          <w:rFonts w:cs="Times New Roman"/>
          <w:szCs w:val="24"/>
        </w:rPr>
        <w:lastRenderedPageBreak/>
        <w:t>pobreza.</w:t>
      </w:r>
      <w:r w:rsidR="000744EC" w:rsidRPr="000744EC">
        <w:rPr>
          <w:rFonts w:cs="Times New Roman"/>
          <w:szCs w:val="24"/>
        </w:rPr>
        <w:t xml:space="preserve"> </w:t>
      </w:r>
      <w:r w:rsidR="000744EC" w:rsidRPr="00DB4A68">
        <w:rPr>
          <w:rFonts w:cs="Times New Roman"/>
          <w:szCs w:val="24"/>
        </w:rPr>
        <w:t xml:space="preserve">O indicador para a multa da pobreza em </w:t>
      </w:r>
      <w:proofErr w:type="spellStart"/>
      <w:r w:rsidR="000744EC" w:rsidRPr="00DB4A68">
        <w:rPr>
          <w:rFonts w:cs="Times New Roman"/>
          <w:szCs w:val="24"/>
        </w:rPr>
        <w:t>Prahalad</w:t>
      </w:r>
      <w:proofErr w:type="spellEnd"/>
      <w:r w:rsidR="000744EC">
        <w:rPr>
          <w:rFonts w:cs="Times New Roman"/>
          <w:szCs w:val="24"/>
        </w:rPr>
        <w:t xml:space="preserve"> (2005)</w:t>
      </w:r>
      <w:r w:rsidR="000744EC" w:rsidRPr="00DB4A68">
        <w:rPr>
          <w:rFonts w:cs="Times New Roman"/>
          <w:szCs w:val="24"/>
        </w:rPr>
        <w:t xml:space="preserve"> foi tratado em termos de variação, visto que foi identificada a pobreza para os pares de grupos de despesa cujo preço médio dividido pelo preço médio do conjunto de alimentos aumentou mais para os domic</w:t>
      </w:r>
      <w:r w:rsidR="000744EC">
        <w:rPr>
          <w:rFonts w:cs="Times New Roman"/>
          <w:szCs w:val="24"/>
        </w:rPr>
        <w:t xml:space="preserve">ílios pobres do que para </w:t>
      </w:r>
      <w:proofErr w:type="gramStart"/>
      <w:r w:rsidR="000744EC">
        <w:rPr>
          <w:rFonts w:cs="Times New Roman"/>
          <w:szCs w:val="24"/>
        </w:rPr>
        <w:t>os não</w:t>
      </w:r>
      <w:proofErr w:type="gramEnd"/>
      <w:r w:rsidR="000744EC">
        <w:rPr>
          <w:rFonts w:cs="Times New Roman"/>
          <w:szCs w:val="24"/>
        </w:rPr>
        <w:t xml:space="preserve"> </w:t>
      </w:r>
      <w:r w:rsidR="000744EC" w:rsidRPr="00DB4A68">
        <w:rPr>
          <w:rFonts w:cs="Times New Roman"/>
          <w:szCs w:val="24"/>
        </w:rPr>
        <w:t>pobres.</w:t>
      </w:r>
      <w:r w:rsidR="00743C7F" w:rsidRPr="00743C7F">
        <w:rPr>
          <w:rFonts w:cs="Times New Roman"/>
          <w:szCs w:val="24"/>
        </w:rPr>
        <w:t xml:space="preserve"> </w:t>
      </w:r>
    </w:p>
    <w:p w:rsidR="000744EC" w:rsidRPr="00DB4A68" w:rsidRDefault="00D63B93" w:rsidP="007B702C">
      <w:pPr>
        <w:ind w:firstLine="708"/>
        <w:contextualSpacing/>
        <w:jc w:val="both"/>
        <w:rPr>
          <w:rFonts w:cs="Times New Roman"/>
          <w:szCs w:val="24"/>
        </w:rPr>
      </w:pPr>
      <w:r>
        <w:rPr>
          <w:rFonts w:cs="Times New Roman"/>
          <w:szCs w:val="24"/>
        </w:rPr>
        <w:t>Dessa maneira</w:t>
      </w:r>
      <w:r w:rsidR="000744EC" w:rsidRPr="00DB4A68">
        <w:rPr>
          <w:rFonts w:cs="Times New Roman"/>
          <w:szCs w:val="24"/>
        </w:rPr>
        <w:t xml:space="preserve"> foram calculados os preços, relativos à alimentação, para todos os grupos de despesas analisados. A partir disso, foram calculadas as variações dos preços relativos no período em questão e selecionados aqueles grupos de despesas que apresentaram maior aumento dos preços relativos para os domicílios pobres e os que apresentaram menor redução dos preços também para esse mesmo grupo de domicílios. Ou seja, os grupos de despesas que tiveram variações de preços mais desfavoráveis aos domicílios pobres. </w:t>
      </w:r>
    </w:p>
    <w:p w:rsidR="000744EC" w:rsidRDefault="000744EC" w:rsidP="007B702C">
      <w:pPr>
        <w:ind w:firstLine="708"/>
        <w:contextualSpacing/>
        <w:jc w:val="both"/>
        <w:rPr>
          <w:rFonts w:cs="Times New Roman"/>
          <w:szCs w:val="24"/>
        </w:rPr>
      </w:pPr>
      <w:r w:rsidRPr="00DB4A68">
        <w:rPr>
          <w:rFonts w:cs="Times New Roman"/>
          <w:szCs w:val="24"/>
        </w:rPr>
        <w:t>Feito isso, o próximo passo foi buscar dados de preços pagos pelos domicílios que realizaram gastos simultaneamente com alimentação e com algum dos itens previamente selecionados, e com base na taxa de variação desses dados, realizou-se as análises necessárias.</w:t>
      </w:r>
    </w:p>
    <w:p w:rsidR="00D63B93" w:rsidRPr="00DB4A68" w:rsidRDefault="00D63B93" w:rsidP="00D63B93">
      <w:pPr>
        <w:ind w:firstLine="708"/>
        <w:contextualSpacing/>
        <w:jc w:val="both"/>
        <w:rPr>
          <w:rFonts w:cs="Times New Roman"/>
          <w:szCs w:val="24"/>
        </w:rPr>
      </w:pPr>
      <w:r w:rsidRPr="00DB4A68">
        <w:rPr>
          <w:rFonts w:cs="Times New Roman"/>
          <w:szCs w:val="24"/>
        </w:rPr>
        <w:t>Como in</w:t>
      </w:r>
      <w:r w:rsidR="00743C7F">
        <w:rPr>
          <w:rFonts w:cs="Times New Roman"/>
          <w:szCs w:val="24"/>
        </w:rPr>
        <w:t>dício de multa da pobreza foi</w:t>
      </w:r>
      <w:r w:rsidRPr="00DB4A68">
        <w:rPr>
          <w:rFonts w:cs="Times New Roman"/>
          <w:szCs w:val="24"/>
        </w:rPr>
        <w:t xml:space="preserve"> observada, </w:t>
      </w:r>
      <w:r w:rsidR="00743C7F">
        <w:rPr>
          <w:rFonts w:cs="Times New Roman"/>
          <w:szCs w:val="24"/>
        </w:rPr>
        <w:t>em uma</w:t>
      </w:r>
      <w:r w:rsidRPr="00DB4A68">
        <w:rPr>
          <w:rFonts w:cs="Times New Roman"/>
          <w:szCs w:val="24"/>
        </w:rPr>
        <w:t xml:space="preserve"> primeira etapa, a comparação entre as variações dos preços relativ</w:t>
      </w:r>
      <w:r w:rsidR="00743C7F">
        <w:rPr>
          <w:rFonts w:cs="Times New Roman"/>
          <w:szCs w:val="24"/>
        </w:rPr>
        <w:t xml:space="preserve">os para os pobres e para </w:t>
      </w:r>
      <w:proofErr w:type="gramStart"/>
      <w:r w:rsidR="00743C7F">
        <w:rPr>
          <w:rFonts w:cs="Times New Roman"/>
          <w:szCs w:val="24"/>
        </w:rPr>
        <w:t>os não</w:t>
      </w:r>
      <w:proofErr w:type="gramEnd"/>
      <w:r w:rsidR="00743C7F">
        <w:rPr>
          <w:rFonts w:cs="Times New Roman"/>
          <w:szCs w:val="24"/>
        </w:rPr>
        <w:t xml:space="preserve"> </w:t>
      </w:r>
      <w:r w:rsidRPr="00DB4A68">
        <w:rPr>
          <w:rFonts w:cs="Times New Roman"/>
          <w:szCs w:val="24"/>
        </w:rPr>
        <w:t xml:space="preserve">pobres, de forma que naqueles grupos de despesas onde os domicílios pobres apresentaram maior aumento ou menor redução de preços do que os não pobres, encontrou-se a indicação da multa. </w:t>
      </w:r>
    </w:p>
    <w:p w:rsidR="00D63B93" w:rsidRDefault="00D63B93" w:rsidP="00D63B93">
      <w:pPr>
        <w:ind w:firstLine="708"/>
        <w:contextualSpacing/>
        <w:jc w:val="both"/>
        <w:rPr>
          <w:rFonts w:cs="Times New Roman"/>
          <w:szCs w:val="24"/>
        </w:rPr>
      </w:pPr>
      <w:r w:rsidRPr="00DB4A68">
        <w:rPr>
          <w:rFonts w:cs="Times New Roman"/>
          <w:szCs w:val="24"/>
        </w:rPr>
        <w:t>E para confirmar essa situação, numa segunda etapa de análise, buscou-se incrementar a especificidade dos resultados ao analisar os domicílios que realizaram gastos simultaneamente com alimentação e o item de despesa especificado na primeira etapa de aná</w:t>
      </w:r>
      <w:r w:rsidR="00743C7F">
        <w:rPr>
          <w:rFonts w:cs="Times New Roman"/>
          <w:szCs w:val="24"/>
        </w:rPr>
        <w:t>lise. Assim, mais uma vez foi</w:t>
      </w:r>
      <w:r w:rsidRPr="00DB4A68">
        <w:rPr>
          <w:rFonts w:cs="Times New Roman"/>
          <w:szCs w:val="24"/>
        </w:rPr>
        <w:t xml:space="preserve"> calculado o preço relativo à alimentação desses, e realizada a mesma análise de variação entre esses preços, sabendo ou não se foi mais prejudicial aos domicílios pobres. </w:t>
      </w:r>
    </w:p>
    <w:p w:rsidR="00D63B93" w:rsidRDefault="00D63B93" w:rsidP="00D63B93">
      <w:pPr>
        <w:ind w:firstLine="708"/>
        <w:contextualSpacing/>
        <w:jc w:val="both"/>
        <w:rPr>
          <w:rFonts w:cs="Times New Roman"/>
          <w:szCs w:val="24"/>
        </w:rPr>
      </w:pPr>
      <w:r w:rsidRPr="00DB4A68">
        <w:rPr>
          <w:rFonts w:cs="Times New Roman"/>
          <w:szCs w:val="24"/>
        </w:rPr>
        <w:t>Depois de identificados os grupos de despesas com alimentos e de outras despesas relacionadas às do conjunto da alimentação para os quais os indicadores apontaram indícios</w:t>
      </w:r>
      <w:r>
        <w:rPr>
          <w:rFonts w:cs="Times New Roman"/>
          <w:szCs w:val="24"/>
        </w:rPr>
        <w:t xml:space="preserve"> de multa da pobreza, testamos </w:t>
      </w:r>
      <w:r w:rsidRPr="00DB4A68">
        <w:rPr>
          <w:rFonts w:cs="Times New Roman"/>
          <w:szCs w:val="24"/>
        </w:rPr>
        <w:t xml:space="preserve">a multa da pobreza. Para tanto, usou-se uma variável-teste para </w:t>
      </w:r>
      <w:r>
        <w:rPr>
          <w:rFonts w:cs="Times New Roman"/>
          <w:szCs w:val="24"/>
        </w:rPr>
        <w:t>o indicador</w:t>
      </w:r>
      <w:r w:rsidR="00B678DB">
        <w:rPr>
          <w:rFonts w:cs="Times New Roman"/>
          <w:szCs w:val="24"/>
        </w:rPr>
        <w:t>.</w:t>
      </w:r>
      <w:r w:rsidRPr="00DB4A68">
        <w:rPr>
          <w:rFonts w:cs="Times New Roman"/>
          <w:szCs w:val="24"/>
        </w:rPr>
        <w:t xml:space="preserve"> Essa variável-teste é o avanço da proporção da despesa na renda dos domicílios pobres que a realizaram, relativamente ao avanço da mesma para os domicílios </w:t>
      </w:r>
      <w:proofErr w:type="gramStart"/>
      <w:r w:rsidRPr="00DB4A68">
        <w:rPr>
          <w:rFonts w:cs="Times New Roman"/>
          <w:szCs w:val="24"/>
        </w:rPr>
        <w:t>não-pobres</w:t>
      </w:r>
      <w:proofErr w:type="gramEnd"/>
      <w:r w:rsidRPr="00DB4A68">
        <w:rPr>
          <w:rFonts w:cs="Times New Roman"/>
          <w:szCs w:val="24"/>
        </w:rPr>
        <w:t xml:space="preserve">. </w:t>
      </w:r>
    </w:p>
    <w:p w:rsidR="007B60DE" w:rsidRPr="00DB4A68" w:rsidRDefault="007B60DE" w:rsidP="007B60DE">
      <w:pPr>
        <w:ind w:firstLine="708"/>
        <w:contextualSpacing/>
        <w:jc w:val="both"/>
      </w:pPr>
      <w:r w:rsidRPr="00DB4A68">
        <w:t xml:space="preserve">Como a variável utilizada nesse trabalho pra indicar a multa da pobreza foram os preços relativos à alimentação, na realização do teste também foi preciso usar </w:t>
      </w:r>
      <w:r>
        <w:t xml:space="preserve">uma </w:t>
      </w:r>
      <w:r>
        <w:lastRenderedPageBreak/>
        <w:t xml:space="preserve">relação </w:t>
      </w:r>
      <w:r w:rsidRPr="00DB4A68">
        <w:t>entre a participação da despesa do item na renda do domicílio e a participação da despesa com alimentação na renda do mesmo domicílio, ou seja:</w:t>
      </w:r>
    </w:p>
    <w:p w:rsidR="007B60DE" w:rsidRPr="00DB4A68" w:rsidRDefault="007B60DE" w:rsidP="007B60DE">
      <w:pPr>
        <w:contextualSpacing/>
        <w:jc w:val="both"/>
        <w:rPr>
          <w:rFonts w:eastAsiaTheme="minorEastAsia"/>
        </w:rPr>
      </w:pPr>
      <m:oMathPara>
        <m:oMath>
          <m:r>
            <w:rPr>
              <w:rFonts w:ascii="Cambria Math" w:hAnsi="Cambria Math"/>
            </w:rPr>
            <m:t>Relação=</m:t>
          </m:r>
          <m:f>
            <m:fPr>
              <m:ctrlPr>
                <w:rPr>
                  <w:rFonts w:ascii="Cambria Math" w:hAnsi="Cambria Math"/>
                  <w:i/>
                </w:rPr>
              </m:ctrlPr>
            </m:fPr>
            <m:num>
              <m:f>
                <m:fPr>
                  <m:type m:val="lin"/>
                  <m:ctrlPr>
                    <w:rPr>
                      <w:rFonts w:ascii="Cambria Math" w:hAnsi="Cambria Math"/>
                      <w:i/>
                    </w:rPr>
                  </m:ctrlPr>
                </m:fPr>
                <m:num>
                  <m:r>
                    <w:rPr>
                      <w:rFonts w:ascii="Cambria Math" w:hAnsi="Cambria Math"/>
                    </w:rPr>
                    <m:t>Desp. I</m:t>
                  </m:r>
                  <m:r>
                    <w:rPr>
                      <w:rFonts w:ascii="Cambria Math" w:hAnsi="Cambria Math"/>
                    </w:rPr>
                    <m:t>tem</m:t>
                  </m:r>
                </m:num>
                <m:den>
                  <m:r>
                    <w:rPr>
                      <w:rFonts w:ascii="Cambria Math" w:hAnsi="Cambria Math"/>
                    </w:rPr>
                    <m:t>Renda</m:t>
                  </m:r>
                </m:den>
              </m:f>
            </m:num>
            <m:den>
              <m:f>
                <m:fPr>
                  <m:type m:val="lin"/>
                  <m:ctrlPr>
                    <w:rPr>
                      <w:rFonts w:ascii="Cambria Math" w:hAnsi="Cambria Math"/>
                      <w:i/>
                    </w:rPr>
                  </m:ctrlPr>
                </m:fPr>
                <m:num>
                  <m:r>
                    <w:rPr>
                      <w:rFonts w:ascii="Cambria Math" w:hAnsi="Cambria Math"/>
                    </w:rPr>
                    <m:t>Desp. Alimentação</m:t>
                  </m:r>
                </m:num>
                <m:den>
                  <m:r>
                    <w:rPr>
                      <w:rFonts w:ascii="Cambria Math" w:hAnsi="Cambria Math"/>
                    </w:rPr>
                    <m:t>Renda</m:t>
                  </m:r>
                </m:den>
              </m:f>
            </m:den>
          </m:f>
        </m:oMath>
      </m:oMathPara>
    </w:p>
    <w:p w:rsidR="007B60DE" w:rsidRPr="007B60DE" w:rsidRDefault="00DB7467" w:rsidP="007B60DE">
      <w:pPr>
        <w:ind w:firstLine="708"/>
        <w:contextualSpacing/>
        <w:jc w:val="both"/>
        <w:rPr>
          <w:rFonts w:eastAsiaTheme="minorEastAsia"/>
        </w:rPr>
      </w:pPr>
      <w:r>
        <w:rPr>
          <w:rFonts w:eastAsiaTheme="minorEastAsia"/>
        </w:rPr>
        <w:t>E a partir disso, a variável-</w:t>
      </w:r>
      <w:r w:rsidR="007B60DE" w:rsidRPr="00DB4A68">
        <w:rPr>
          <w:rFonts w:eastAsiaTheme="minorEastAsia"/>
        </w:rPr>
        <w:t>teste indicou a multa da pobreza nos grupos de despesa onde a variação dessa relação foi prejudicial para os domicílios pobres.</w:t>
      </w:r>
    </w:p>
    <w:p w:rsidR="00B678DB" w:rsidRDefault="00D63B93" w:rsidP="00DB6C13">
      <w:pPr>
        <w:ind w:firstLine="708"/>
        <w:contextualSpacing/>
        <w:jc w:val="both"/>
        <w:rPr>
          <w:rFonts w:cs="Times New Roman"/>
          <w:szCs w:val="24"/>
        </w:rPr>
      </w:pPr>
      <w:r>
        <w:rPr>
          <w:rFonts w:cs="Times New Roman"/>
          <w:szCs w:val="24"/>
        </w:rPr>
        <w:t>Vale apontar que, nesse item</w:t>
      </w:r>
      <w:r w:rsidRPr="00DB4A68">
        <w:rPr>
          <w:rFonts w:cs="Times New Roman"/>
          <w:szCs w:val="24"/>
        </w:rPr>
        <w:t xml:space="preserve">, chamou-se de variável-hipótese aquilo que foi usado como </w:t>
      </w:r>
      <w:proofErr w:type="gramStart"/>
      <w:r w:rsidRPr="00DB4A68">
        <w:rPr>
          <w:rFonts w:cs="Times New Roman"/>
          <w:i/>
          <w:szCs w:val="24"/>
        </w:rPr>
        <w:t>proxy</w:t>
      </w:r>
      <w:proofErr w:type="gramEnd"/>
      <w:r w:rsidRPr="00DB4A68">
        <w:rPr>
          <w:rFonts w:cs="Times New Roman"/>
          <w:szCs w:val="24"/>
        </w:rPr>
        <w:t xml:space="preserve"> da análise aqui proposta, ou seja, os resultados de multa segundo a variação nos preços relativos. Sendo assim, seguiu-se o mesmo sistema de </w:t>
      </w:r>
      <w:proofErr w:type="gramStart"/>
      <w:r w:rsidRPr="00DB4A68">
        <w:rPr>
          <w:rFonts w:cs="Times New Roman"/>
          <w:szCs w:val="24"/>
        </w:rPr>
        <w:t>1</w:t>
      </w:r>
      <w:proofErr w:type="gramEnd"/>
      <w:r w:rsidRPr="00DB4A68">
        <w:rPr>
          <w:rFonts w:cs="Times New Roman"/>
          <w:szCs w:val="24"/>
        </w:rPr>
        <w:t xml:space="preserve"> e 0, ou seja, quando a análise baseada nessas variáveis indicaram existência de multa da pobreza, a</w:t>
      </w:r>
      <w:r w:rsidR="00B678DB">
        <w:rPr>
          <w:rFonts w:cs="Times New Roman"/>
          <w:szCs w:val="24"/>
        </w:rPr>
        <w:t xml:space="preserve">tribuiu-se 1, e quando não, 0. </w:t>
      </w:r>
    </w:p>
    <w:p w:rsidR="00DB6C13" w:rsidRDefault="00DB6C13" w:rsidP="00DB6C13">
      <w:pPr>
        <w:contextualSpacing/>
        <w:jc w:val="both"/>
        <w:rPr>
          <w:rFonts w:cs="Times New Roman"/>
          <w:b/>
          <w:caps/>
          <w:szCs w:val="24"/>
        </w:rPr>
      </w:pPr>
    </w:p>
    <w:p w:rsidR="00DB6C13" w:rsidRPr="000E2D46" w:rsidRDefault="00DB6C13" w:rsidP="000E2D46">
      <w:pPr>
        <w:pStyle w:val="PargrafodaLista"/>
        <w:numPr>
          <w:ilvl w:val="0"/>
          <w:numId w:val="1"/>
        </w:numPr>
        <w:jc w:val="both"/>
        <w:rPr>
          <w:rFonts w:cs="Times New Roman"/>
          <w:b/>
          <w:caps/>
          <w:szCs w:val="24"/>
        </w:rPr>
      </w:pPr>
      <w:r w:rsidRPr="000E2D46">
        <w:rPr>
          <w:rFonts w:cs="Times New Roman"/>
          <w:b/>
          <w:caps/>
          <w:szCs w:val="24"/>
        </w:rPr>
        <w:t>Resultados</w:t>
      </w:r>
    </w:p>
    <w:p w:rsidR="00DB6C13" w:rsidRPr="00DB6C13" w:rsidRDefault="00DB6C13" w:rsidP="00DB6C13">
      <w:pPr>
        <w:contextualSpacing/>
        <w:jc w:val="both"/>
        <w:rPr>
          <w:rFonts w:cs="Times New Roman"/>
          <w:b/>
          <w:caps/>
          <w:szCs w:val="24"/>
        </w:rPr>
      </w:pPr>
    </w:p>
    <w:p w:rsidR="00B678DB" w:rsidRPr="000E2D46" w:rsidRDefault="00B678DB" w:rsidP="000E2D46">
      <w:pPr>
        <w:pStyle w:val="PargrafodaLista"/>
        <w:numPr>
          <w:ilvl w:val="1"/>
          <w:numId w:val="1"/>
        </w:numPr>
        <w:jc w:val="both"/>
        <w:rPr>
          <w:rFonts w:cs="Times New Roman"/>
          <w:b/>
          <w:szCs w:val="24"/>
        </w:rPr>
      </w:pPr>
      <w:r w:rsidRPr="000E2D46">
        <w:rPr>
          <w:rFonts w:cs="Times New Roman"/>
          <w:b/>
          <w:szCs w:val="24"/>
        </w:rPr>
        <w:t xml:space="preserve">VISÃO GERAL DOS QUANTITATIVOS DE DOMICÍLIOS </w:t>
      </w:r>
    </w:p>
    <w:p w:rsidR="00DB6C13" w:rsidRPr="00B678DB" w:rsidRDefault="00DB6C13" w:rsidP="00B678DB">
      <w:pPr>
        <w:contextualSpacing/>
        <w:jc w:val="both"/>
        <w:rPr>
          <w:rFonts w:cs="Times New Roman"/>
          <w:b/>
          <w:szCs w:val="24"/>
        </w:rPr>
      </w:pPr>
    </w:p>
    <w:p w:rsidR="00B678DB" w:rsidRPr="00DB4A68" w:rsidRDefault="00B678DB" w:rsidP="00B678DB">
      <w:pPr>
        <w:ind w:firstLine="708"/>
        <w:contextualSpacing/>
        <w:jc w:val="both"/>
        <w:rPr>
          <w:rFonts w:cs="Times New Roman"/>
          <w:szCs w:val="24"/>
        </w:rPr>
      </w:pPr>
      <w:r w:rsidRPr="00DB4A68">
        <w:rPr>
          <w:rFonts w:cs="Times New Roman"/>
          <w:szCs w:val="24"/>
        </w:rPr>
        <w:t xml:space="preserve">Primeiramente, antes de se observar </w:t>
      </w:r>
      <w:proofErr w:type="gramStart"/>
      <w:r w:rsidRPr="00DB4A68">
        <w:rPr>
          <w:rFonts w:cs="Times New Roman"/>
          <w:szCs w:val="24"/>
        </w:rPr>
        <w:t xml:space="preserve">os dados referentes à multa da pobreza, </w:t>
      </w:r>
      <w:r w:rsidR="00DB7467">
        <w:rPr>
          <w:rFonts w:cs="Times New Roman"/>
          <w:szCs w:val="24"/>
        </w:rPr>
        <w:t>é</w:t>
      </w:r>
      <w:proofErr w:type="gramEnd"/>
      <w:r w:rsidR="00DB7467" w:rsidRPr="00DB4A68">
        <w:rPr>
          <w:rFonts w:cs="Times New Roman"/>
          <w:szCs w:val="24"/>
        </w:rPr>
        <w:t xml:space="preserve"> necessários</w:t>
      </w:r>
      <w:r w:rsidRPr="00DB4A68">
        <w:rPr>
          <w:rFonts w:cs="Times New Roman"/>
          <w:szCs w:val="24"/>
        </w:rPr>
        <w:t xml:space="preserve"> apresentar um panorama geral do estado de Sergipe e dos seus estratos no que diz respeito aos quantitativos de domicílios pesquisados. As próximas quatro tabelas apresentam esses quantitativos e algumas considerações.</w:t>
      </w:r>
    </w:p>
    <w:p w:rsidR="00B678DB" w:rsidRPr="00DB4A68" w:rsidRDefault="00B678DB" w:rsidP="00B678DB">
      <w:pPr>
        <w:ind w:firstLine="708"/>
        <w:contextualSpacing/>
        <w:jc w:val="both"/>
        <w:rPr>
          <w:rFonts w:cs="Times New Roman"/>
          <w:szCs w:val="24"/>
        </w:rPr>
      </w:pPr>
      <w:r w:rsidRPr="00DB4A68">
        <w:rPr>
          <w:rFonts w:cs="Times New Roman"/>
          <w:szCs w:val="24"/>
        </w:rPr>
        <w:t>Na tabela 1 aparecem os dados relativos ao total do estado de Sergipe. Do total de domicílios sergipanos em ambos os anos, aproximadamente 99% responderam ao questionário qualitativo (relação B/A). No caso dos domicílios que responderam esse questionário e que apresentaram dados suficientes para possibilitar o calculo de seus balanços calóricos, em 2002, esse quantitativo foi de 413426 domicílios, representando 87,85% do total (relação C/A). Para 2009, esse percentual aumentou para 94,78%. Esses números são importantes porque são a partir deles que se foi aplicado os critérios de separação entre domicílios pobres e domicílios não pobres, ou seja, são esses que compõe a amostra utilizada.</w:t>
      </w:r>
    </w:p>
    <w:p w:rsidR="00B678DB" w:rsidRPr="00DB4A68" w:rsidRDefault="00B678DB" w:rsidP="00B678DB">
      <w:pPr>
        <w:ind w:firstLine="708"/>
        <w:contextualSpacing/>
        <w:jc w:val="both"/>
        <w:rPr>
          <w:rFonts w:cs="Times New Roman"/>
          <w:szCs w:val="24"/>
        </w:rPr>
      </w:pPr>
    </w:p>
    <w:tbl>
      <w:tblPr>
        <w:tblW w:w="8364" w:type="dxa"/>
        <w:jc w:val="center"/>
        <w:tblInd w:w="70" w:type="dxa"/>
        <w:tblCellMar>
          <w:left w:w="70" w:type="dxa"/>
          <w:right w:w="70" w:type="dxa"/>
        </w:tblCellMar>
        <w:tblLook w:val="04A0" w:firstRow="1" w:lastRow="0" w:firstColumn="1" w:lastColumn="0" w:noHBand="0" w:noVBand="1"/>
      </w:tblPr>
      <w:tblGrid>
        <w:gridCol w:w="6565"/>
        <w:gridCol w:w="919"/>
        <w:gridCol w:w="880"/>
      </w:tblGrid>
      <w:tr w:rsidR="00B678DB" w:rsidRPr="00DB4A68" w:rsidTr="002343D7">
        <w:trPr>
          <w:trHeight w:val="360"/>
          <w:jc w:val="center"/>
        </w:trPr>
        <w:tc>
          <w:tcPr>
            <w:tcW w:w="8364" w:type="dxa"/>
            <w:gridSpan w:val="3"/>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b/>
                <w:szCs w:val="24"/>
                <w:lang w:eastAsia="pt-BR"/>
              </w:rPr>
              <w:t>Tabela 1</w:t>
            </w:r>
            <w:r w:rsidRPr="00DB4A68">
              <w:rPr>
                <w:rFonts w:eastAsia="Times New Roman" w:cs="Times New Roman"/>
                <w:szCs w:val="24"/>
                <w:lang w:eastAsia="pt-BR"/>
              </w:rPr>
              <w:t>. Quantitativos de domicílios para o estado de Sergipe</w:t>
            </w:r>
          </w:p>
        </w:tc>
      </w:tr>
      <w:tr w:rsidR="00B678DB" w:rsidRPr="00DB4A68" w:rsidTr="002343D7">
        <w:trPr>
          <w:trHeight w:val="300"/>
          <w:jc w:val="center"/>
        </w:trPr>
        <w:tc>
          <w:tcPr>
            <w:tcW w:w="6565" w:type="dxa"/>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w:t>
            </w:r>
          </w:p>
        </w:tc>
        <w:tc>
          <w:tcPr>
            <w:tcW w:w="919"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880"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r>
      <w:tr w:rsidR="00B678DB" w:rsidRPr="00DB4A68" w:rsidTr="002343D7">
        <w:trPr>
          <w:trHeight w:val="3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lastRenderedPageBreak/>
              <w:t>Número de domicílios (A)</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470606</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565052</w:t>
            </w:r>
          </w:p>
        </w:tc>
      </w:tr>
      <w:tr w:rsidR="00B678DB" w:rsidRPr="00DB4A68" w:rsidTr="002343D7">
        <w:trPr>
          <w:trHeight w:val="6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que responderam o questionário qualitativo (B</w:t>
            </w:r>
            <w:proofErr w:type="gramStart"/>
            <w:r w:rsidRPr="00DB4A68">
              <w:rPr>
                <w:rFonts w:eastAsia="Times New Roman" w:cs="Times New Roman"/>
                <w:szCs w:val="24"/>
                <w:lang w:eastAsia="pt-BR"/>
              </w:rPr>
              <w:t>)</w:t>
            </w:r>
            <w:proofErr w:type="gramEnd"/>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465808</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560965</w:t>
            </w:r>
          </w:p>
        </w:tc>
      </w:tr>
      <w:tr w:rsidR="00B678DB" w:rsidRPr="00DB4A68" w:rsidTr="002343D7">
        <w:trPr>
          <w:trHeight w:val="3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B/A</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98.98%</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99.28%</w:t>
            </w:r>
          </w:p>
        </w:tc>
      </w:tr>
      <w:tr w:rsidR="00B678DB" w:rsidRPr="00DB4A68" w:rsidTr="002343D7">
        <w:trPr>
          <w:trHeight w:val="6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que responderam o questionário qualitativo e tiveram seus balanços calóricos calculados (C</w:t>
            </w:r>
            <w:proofErr w:type="gramStart"/>
            <w:r w:rsidRPr="00DB4A68">
              <w:rPr>
                <w:rFonts w:eastAsia="Times New Roman" w:cs="Times New Roman"/>
                <w:szCs w:val="24"/>
                <w:lang w:eastAsia="pt-BR"/>
              </w:rPr>
              <w:t>)</w:t>
            </w:r>
            <w:proofErr w:type="gramEnd"/>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413426</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535553</w:t>
            </w:r>
          </w:p>
        </w:tc>
      </w:tr>
      <w:tr w:rsidR="00B678DB" w:rsidRPr="00DB4A68" w:rsidTr="002343D7">
        <w:trPr>
          <w:trHeight w:val="3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C/A</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87.85%</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94.78%</w:t>
            </w:r>
          </w:p>
        </w:tc>
      </w:tr>
      <w:tr w:rsidR="00B678DB" w:rsidRPr="00DB4A68" w:rsidTr="002343D7">
        <w:trPr>
          <w:trHeight w:val="6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satisfeitos com alimentação e cujo balanço calórico é nulo ou positivo (D)</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44149</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65723</w:t>
            </w:r>
          </w:p>
        </w:tc>
      </w:tr>
      <w:tr w:rsidR="00B678DB" w:rsidRPr="00DB4A68" w:rsidTr="002343D7">
        <w:trPr>
          <w:trHeight w:val="3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D/C</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10.68%</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12.27%</w:t>
            </w:r>
          </w:p>
        </w:tc>
      </w:tr>
      <w:tr w:rsidR="00B678DB" w:rsidRPr="00DB4A68" w:rsidTr="002343D7">
        <w:trPr>
          <w:trHeight w:val="6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Insatisfeitos com alimentação e cujo balanço calórico é negativo (E)</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92265</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190826</w:t>
            </w:r>
          </w:p>
        </w:tc>
      </w:tr>
      <w:tr w:rsidR="00B678DB" w:rsidRPr="00DB4A68" w:rsidTr="002343D7">
        <w:trPr>
          <w:trHeight w:val="300"/>
          <w:jc w:val="center"/>
        </w:trPr>
        <w:tc>
          <w:tcPr>
            <w:tcW w:w="6565" w:type="dxa"/>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E/C</w:t>
            </w:r>
          </w:p>
        </w:tc>
        <w:tc>
          <w:tcPr>
            <w:tcW w:w="919"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22.32%</w:t>
            </w:r>
          </w:p>
        </w:tc>
        <w:tc>
          <w:tcPr>
            <w:tcW w:w="880"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35.63%</w:t>
            </w:r>
          </w:p>
        </w:tc>
      </w:tr>
      <w:tr w:rsidR="00B678DB" w:rsidRPr="00DB4A68" w:rsidTr="002343D7">
        <w:trPr>
          <w:trHeight w:val="300"/>
          <w:jc w:val="center"/>
        </w:trPr>
        <w:tc>
          <w:tcPr>
            <w:tcW w:w="6565"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p>
        </w:tc>
      </w:tr>
    </w:tbl>
    <w:p w:rsidR="00B678DB" w:rsidRPr="00DB4A68" w:rsidRDefault="00B678DB" w:rsidP="00B678DB">
      <w:pPr>
        <w:contextualSpacing/>
        <w:jc w:val="both"/>
        <w:rPr>
          <w:rFonts w:cs="Times New Roman"/>
          <w:szCs w:val="24"/>
        </w:rPr>
      </w:pPr>
    </w:p>
    <w:p w:rsidR="00B678DB" w:rsidRPr="00DB4A68" w:rsidRDefault="00B678DB" w:rsidP="00B678DB">
      <w:pPr>
        <w:ind w:firstLine="708"/>
        <w:contextualSpacing/>
        <w:jc w:val="both"/>
        <w:rPr>
          <w:rFonts w:cs="Times New Roman"/>
          <w:szCs w:val="24"/>
        </w:rPr>
      </w:pPr>
      <w:r w:rsidRPr="00DB4A68">
        <w:rPr>
          <w:rFonts w:cs="Times New Roman"/>
          <w:szCs w:val="24"/>
        </w:rPr>
        <w:t xml:space="preserve">O quantitativo de domicílios ditos satisfeitos com a alimentação e que apresentaram balanço calórico nulo ou positivo (D), ou seja, </w:t>
      </w:r>
      <w:r w:rsidR="00DB7467" w:rsidRPr="00DB4A68">
        <w:rPr>
          <w:rFonts w:cs="Times New Roman"/>
          <w:szCs w:val="24"/>
        </w:rPr>
        <w:t>os domicílios não pobres do estado de Sergipe representavam</w:t>
      </w:r>
      <w:r w:rsidRPr="00DB4A68">
        <w:rPr>
          <w:rFonts w:cs="Times New Roman"/>
          <w:szCs w:val="24"/>
        </w:rPr>
        <w:t xml:space="preserve"> 10,68% do total de domicílios da amostra no ano de 2002, e 12,27% no ano de 2009. E quanto ao quantitativo dos domicílios considerados pobres, que são aqueles que apresentaram insatisfação com a alimentação e balanço calórico negativo, em 2002 representavam 22,32% da amostra e passou a 35,63%</w:t>
      </w:r>
      <w:r>
        <w:rPr>
          <w:rFonts w:cs="Times New Roman"/>
          <w:szCs w:val="24"/>
        </w:rPr>
        <w:t xml:space="preserve"> </w:t>
      </w:r>
      <w:r w:rsidRPr="00DB4A68">
        <w:rPr>
          <w:rFonts w:cs="Times New Roman"/>
          <w:szCs w:val="24"/>
        </w:rPr>
        <w:t>em 2009</w:t>
      </w:r>
      <w:r>
        <w:rPr>
          <w:rStyle w:val="Refdenotaderodap"/>
          <w:rFonts w:cs="Times New Roman"/>
          <w:szCs w:val="24"/>
        </w:rPr>
        <w:footnoteReference w:id="1"/>
      </w:r>
      <w:r w:rsidRPr="00DB4A68">
        <w:rPr>
          <w:rFonts w:cs="Times New Roman"/>
          <w:szCs w:val="24"/>
        </w:rPr>
        <w:t xml:space="preserve">. Além do aumento de participação, o crescimento da quantidade de domicílios pobres foi muito maior do que o de domicílios não pobres, que pode ser visto comparando os quantitativos D e </w:t>
      </w:r>
      <w:proofErr w:type="spellStart"/>
      <w:r w:rsidRPr="00DB4A68">
        <w:rPr>
          <w:rFonts w:cs="Times New Roman"/>
          <w:szCs w:val="24"/>
        </w:rPr>
        <w:t>E</w:t>
      </w:r>
      <w:proofErr w:type="spellEnd"/>
      <w:r w:rsidRPr="00DB4A68">
        <w:rPr>
          <w:rFonts w:cs="Times New Roman"/>
          <w:szCs w:val="24"/>
        </w:rPr>
        <w:t xml:space="preserve"> da tabela.</w:t>
      </w:r>
    </w:p>
    <w:p w:rsidR="00B678DB" w:rsidRDefault="00B678DB" w:rsidP="00B678DB">
      <w:pPr>
        <w:ind w:firstLine="708"/>
        <w:contextualSpacing/>
        <w:jc w:val="both"/>
        <w:rPr>
          <w:rFonts w:cs="Times New Roman"/>
          <w:szCs w:val="24"/>
        </w:rPr>
      </w:pPr>
      <w:r w:rsidRPr="00DB4A68">
        <w:rPr>
          <w:rFonts w:cs="Times New Roman"/>
          <w:szCs w:val="24"/>
        </w:rPr>
        <w:t>Os quantitativos em relação ao estrato Capital estão apresentados na tabela 2. Pela relação F/A vê-se a participação desse estrato no total de domicílios do estado, sendo 26,18% em 2002 e 28,89% em 2009. Quanto ao estabelecimento da amostra a ser analisada, ou seja, os domicílios que responderam ao questionário qualitativo e tiveram os balanços calóricos calculados, vê-se que em 2002 foram 103275 domicílios, crescendo para 151735 em 2009.</w:t>
      </w:r>
    </w:p>
    <w:p w:rsidR="00B678DB" w:rsidRPr="00DB4A68" w:rsidRDefault="00B678DB" w:rsidP="00B678DB">
      <w:pPr>
        <w:ind w:firstLine="708"/>
        <w:contextualSpacing/>
        <w:jc w:val="both"/>
        <w:rPr>
          <w:rFonts w:cs="Times New Roman"/>
          <w:szCs w:val="24"/>
        </w:rPr>
      </w:pPr>
    </w:p>
    <w:p w:rsidR="00B678DB" w:rsidRPr="00DB4A68" w:rsidRDefault="00B678DB" w:rsidP="00B678DB">
      <w:pPr>
        <w:ind w:firstLine="708"/>
        <w:contextualSpacing/>
        <w:jc w:val="both"/>
        <w:rPr>
          <w:rFonts w:cs="Times New Roman"/>
          <w:szCs w:val="24"/>
        </w:rPr>
      </w:pPr>
    </w:p>
    <w:tbl>
      <w:tblPr>
        <w:tblW w:w="8229" w:type="dxa"/>
        <w:jc w:val="center"/>
        <w:tblInd w:w="70" w:type="dxa"/>
        <w:tblCellMar>
          <w:left w:w="70" w:type="dxa"/>
          <w:right w:w="70" w:type="dxa"/>
        </w:tblCellMar>
        <w:tblLook w:val="04A0" w:firstRow="1" w:lastRow="0" w:firstColumn="1" w:lastColumn="0" w:noHBand="0" w:noVBand="1"/>
      </w:tblPr>
      <w:tblGrid>
        <w:gridCol w:w="6190"/>
        <w:gridCol w:w="880"/>
        <w:gridCol w:w="1159"/>
      </w:tblGrid>
      <w:tr w:rsidR="00B678DB" w:rsidRPr="00DB4A68" w:rsidTr="002343D7">
        <w:trPr>
          <w:trHeight w:val="330"/>
          <w:jc w:val="center"/>
        </w:trPr>
        <w:tc>
          <w:tcPr>
            <w:tcW w:w="8229" w:type="dxa"/>
            <w:gridSpan w:val="3"/>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b/>
                <w:szCs w:val="24"/>
                <w:lang w:eastAsia="pt-BR"/>
              </w:rPr>
              <w:t>Tabela 2</w:t>
            </w:r>
            <w:r w:rsidRPr="00DB4A68">
              <w:rPr>
                <w:rFonts w:eastAsia="Times New Roman" w:cs="Times New Roman"/>
                <w:szCs w:val="24"/>
                <w:lang w:eastAsia="pt-BR"/>
              </w:rPr>
              <w:t>. Quantitativos de domicílios para o estrato Capital de Sergipe</w:t>
            </w:r>
          </w:p>
        </w:tc>
      </w:tr>
      <w:tr w:rsidR="00B678DB" w:rsidRPr="00DB4A68" w:rsidTr="002343D7">
        <w:trPr>
          <w:trHeight w:val="300"/>
          <w:jc w:val="center"/>
        </w:trPr>
        <w:tc>
          <w:tcPr>
            <w:tcW w:w="6190" w:type="dxa"/>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w:t>
            </w:r>
          </w:p>
        </w:tc>
        <w:tc>
          <w:tcPr>
            <w:tcW w:w="880"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1159"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r>
      <w:tr w:rsidR="00B678DB" w:rsidRPr="00DB4A68" w:rsidTr="002343D7">
        <w:trPr>
          <w:trHeight w:val="3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lastRenderedPageBreak/>
              <w:t>Número de domicílios (F)</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123195</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163249</w:t>
            </w:r>
          </w:p>
        </w:tc>
      </w:tr>
      <w:tr w:rsidR="00B678DB" w:rsidRPr="00DB4A68" w:rsidTr="002343D7">
        <w:trPr>
          <w:trHeight w:val="3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F/A</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26.18%</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28.89%</w:t>
            </w:r>
          </w:p>
        </w:tc>
      </w:tr>
      <w:tr w:rsidR="00B678DB" w:rsidRPr="00DB4A68" w:rsidTr="002343D7">
        <w:trPr>
          <w:trHeight w:val="6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que responderam o questionário qualitativo (G</w:t>
            </w:r>
            <w:proofErr w:type="gramStart"/>
            <w:r w:rsidRPr="00DB4A68">
              <w:rPr>
                <w:rFonts w:eastAsia="Times New Roman" w:cs="Times New Roman"/>
                <w:szCs w:val="24"/>
                <w:lang w:eastAsia="pt-BR"/>
              </w:rPr>
              <w:t>)</w:t>
            </w:r>
            <w:proofErr w:type="gramEnd"/>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120889</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160642</w:t>
            </w:r>
          </w:p>
        </w:tc>
      </w:tr>
      <w:tr w:rsidR="00B678DB" w:rsidRPr="00DB4A68" w:rsidTr="002343D7">
        <w:trPr>
          <w:trHeight w:val="3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G/F</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98.13%</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98.40%</w:t>
            </w:r>
          </w:p>
        </w:tc>
      </w:tr>
      <w:tr w:rsidR="00B678DB" w:rsidRPr="00DB4A68" w:rsidTr="002343D7">
        <w:trPr>
          <w:trHeight w:val="6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que responderam o questionário qualitativo e tiveram seus balanços calóricos calculados (H</w:t>
            </w:r>
            <w:proofErr w:type="gramStart"/>
            <w:r w:rsidRPr="00DB4A68">
              <w:rPr>
                <w:rFonts w:eastAsia="Times New Roman" w:cs="Times New Roman"/>
                <w:szCs w:val="24"/>
                <w:lang w:eastAsia="pt-BR"/>
              </w:rPr>
              <w:t>)</w:t>
            </w:r>
            <w:proofErr w:type="gramEnd"/>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103275</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151735</w:t>
            </w:r>
          </w:p>
        </w:tc>
      </w:tr>
      <w:tr w:rsidR="00B678DB" w:rsidRPr="00DB4A68" w:rsidTr="002343D7">
        <w:trPr>
          <w:trHeight w:val="3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H/F</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83.83%</w:t>
            </w:r>
          </w:p>
        </w:tc>
        <w:tc>
          <w:tcPr>
            <w:tcW w:w="1159" w:type="dxa"/>
            <w:tcBorders>
              <w:top w:val="nil"/>
              <w:left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92.95%</w:t>
            </w:r>
          </w:p>
        </w:tc>
      </w:tr>
      <w:tr w:rsidR="00B678DB" w:rsidRPr="00DB4A68" w:rsidTr="002343D7">
        <w:trPr>
          <w:trHeight w:val="6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satisfeitos com alimentação e cujo balanço calórico é nulo ou positivo (I)</w:t>
            </w:r>
          </w:p>
        </w:tc>
        <w:tc>
          <w:tcPr>
            <w:tcW w:w="880" w:type="dxa"/>
            <w:tcBorders>
              <w:top w:val="nil"/>
              <w:left w:val="nil"/>
              <w:bottom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18082</w:t>
            </w:r>
          </w:p>
        </w:tc>
        <w:tc>
          <w:tcPr>
            <w:tcW w:w="1159" w:type="dxa"/>
            <w:shd w:val="clear" w:color="auto" w:fill="auto"/>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22906</w:t>
            </w:r>
          </w:p>
        </w:tc>
      </w:tr>
      <w:tr w:rsidR="00B678DB" w:rsidRPr="00DB4A68" w:rsidTr="002343D7">
        <w:trPr>
          <w:trHeight w:val="3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I/H</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17.51%</w:t>
            </w:r>
          </w:p>
        </w:tc>
        <w:tc>
          <w:tcPr>
            <w:tcW w:w="1159" w:type="dxa"/>
            <w:tcBorders>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15.10%</w:t>
            </w:r>
          </w:p>
        </w:tc>
      </w:tr>
      <w:tr w:rsidR="00B678DB" w:rsidRPr="00DB4A68" w:rsidTr="002343D7">
        <w:trPr>
          <w:trHeight w:val="6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insatisfeitos com alimentação e cujo balanço calórico é negativo (J)</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18446</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44747</w:t>
            </w:r>
          </w:p>
        </w:tc>
      </w:tr>
      <w:tr w:rsidR="00B678DB" w:rsidRPr="00DB4A68" w:rsidTr="002343D7">
        <w:trPr>
          <w:trHeight w:val="300"/>
          <w:jc w:val="center"/>
        </w:trPr>
        <w:tc>
          <w:tcPr>
            <w:tcW w:w="6190" w:type="dxa"/>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J/H</w:t>
            </w:r>
          </w:p>
        </w:tc>
        <w:tc>
          <w:tcPr>
            <w:tcW w:w="880"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17.86%</w:t>
            </w:r>
          </w:p>
        </w:tc>
        <w:tc>
          <w:tcPr>
            <w:tcW w:w="1159"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29.49%</w:t>
            </w:r>
          </w:p>
        </w:tc>
      </w:tr>
      <w:tr w:rsidR="00B678DB" w:rsidRPr="00DB4A68" w:rsidTr="002343D7">
        <w:trPr>
          <w:trHeight w:val="300"/>
          <w:jc w:val="center"/>
        </w:trPr>
        <w:tc>
          <w:tcPr>
            <w:tcW w:w="619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p>
        </w:tc>
      </w:tr>
    </w:tbl>
    <w:p w:rsidR="00B678DB" w:rsidRPr="00DB4A68" w:rsidRDefault="00B678DB" w:rsidP="00B678DB">
      <w:pPr>
        <w:contextualSpacing/>
        <w:jc w:val="both"/>
        <w:rPr>
          <w:rFonts w:cs="Times New Roman"/>
          <w:szCs w:val="24"/>
        </w:rPr>
      </w:pPr>
    </w:p>
    <w:p w:rsidR="00B678DB" w:rsidRPr="00DB4A68" w:rsidRDefault="00B678DB" w:rsidP="00B678DB">
      <w:pPr>
        <w:ind w:firstLine="708"/>
        <w:contextualSpacing/>
        <w:jc w:val="both"/>
        <w:rPr>
          <w:rFonts w:cs="Times New Roman"/>
          <w:szCs w:val="24"/>
        </w:rPr>
      </w:pPr>
      <w:r w:rsidRPr="00DB4A68">
        <w:rPr>
          <w:rFonts w:cs="Times New Roman"/>
          <w:szCs w:val="24"/>
        </w:rPr>
        <w:t xml:space="preserve">Desse total da amostra, os domicílios tidos como não pobres foram 18082 em 2002, representando 17,51% do total amostral, e 22906, sendo 15,1% da amostra. No caso dos domicílios pobres, para 2002, foi bastante aproximado dos não pobres, sendo 18446, e representando 17,86%. Porém no ano de 2009, o </w:t>
      </w:r>
      <w:r>
        <w:rPr>
          <w:rFonts w:cs="Times New Roman"/>
          <w:szCs w:val="24"/>
        </w:rPr>
        <w:t>número</w:t>
      </w:r>
      <w:r w:rsidRPr="00DB4A68">
        <w:rPr>
          <w:rFonts w:cs="Times New Roman"/>
          <w:szCs w:val="24"/>
        </w:rPr>
        <w:t xml:space="preserve"> de domicílios pobres passou para 44747, e aumentou sua participação para 29,49% da amostra.</w:t>
      </w:r>
    </w:p>
    <w:p w:rsidR="00B678DB" w:rsidRPr="00DB4A68" w:rsidRDefault="00B678DB" w:rsidP="00B678DB">
      <w:pPr>
        <w:ind w:firstLine="708"/>
        <w:contextualSpacing/>
        <w:jc w:val="both"/>
        <w:rPr>
          <w:rFonts w:cs="Times New Roman"/>
          <w:szCs w:val="24"/>
        </w:rPr>
      </w:pPr>
      <w:r w:rsidRPr="00DB4A68">
        <w:rPr>
          <w:rFonts w:cs="Times New Roman"/>
          <w:szCs w:val="24"/>
        </w:rPr>
        <w:t xml:space="preserve">O estrato Urbano do estado, como se vê na tabela 3, é o que apresenta a maior participação no estado de Sergipe (relação K/A). Desse quantitativo, a amostra estabelecida, ou seja, os domicílios que responderam ao questionário qualitativo e tiveram seus balanços calóricos calculados (M), foi de 200823 em 2002 e de 267875 domicílios em 2009. </w:t>
      </w:r>
    </w:p>
    <w:p w:rsidR="00B678DB" w:rsidRPr="00DB4A68" w:rsidRDefault="00B678DB" w:rsidP="00DB6C13">
      <w:pPr>
        <w:ind w:firstLine="708"/>
        <w:contextualSpacing/>
        <w:jc w:val="both"/>
        <w:rPr>
          <w:rFonts w:cs="Times New Roman"/>
          <w:szCs w:val="24"/>
        </w:rPr>
      </w:pPr>
      <w:r w:rsidRPr="00DB4A68">
        <w:rPr>
          <w:rFonts w:cs="Times New Roman"/>
          <w:szCs w:val="24"/>
        </w:rPr>
        <w:t>Para esse estrato, o quantitativo de domicílios não pobres para o ano de 2002 foi de 20265, representando 10% do total da amostra, em 2009 foi de 27922, representando 10,4%. Quanto aos domicílios pobres, no ano de 2002, a participação em relação ao total foi a maior entre os estratos, sendo de 24,38%. Para 2009 essa participação foi de 34,75%, que só foi menor do que para o estrato Rural, visto a seguir.</w:t>
      </w:r>
    </w:p>
    <w:p w:rsidR="00B678DB" w:rsidRPr="00DB4A68" w:rsidRDefault="00B678DB" w:rsidP="00B678DB">
      <w:pPr>
        <w:ind w:firstLine="708"/>
        <w:contextualSpacing/>
        <w:jc w:val="both"/>
        <w:rPr>
          <w:rFonts w:cs="Times New Roman"/>
          <w:szCs w:val="24"/>
        </w:rPr>
      </w:pPr>
    </w:p>
    <w:tbl>
      <w:tblPr>
        <w:tblW w:w="8229" w:type="dxa"/>
        <w:jc w:val="center"/>
        <w:tblInd w:w="70" w:type="dxa"/>
        <w:tblCellMar>
          <w:left w:w="70" w:type="dxa"/>
          <w:right w:w="70" w:type="dxa"/>
        </w:tblCellMar>
        <w:tblLook w:val="04A0" w:firstRow="1" w:lastRow="0" w:firstColumn="1" w:lastColumn="0" w:noHBand="0" w:noVBand="1"/>
      </w:tblPr>
      <w:tblGrid>
        <w:gridCol w:w="6190"/>
        <w:gridCol w:w="880"/>
        <w:gridCol w:w="1159"/>
      </w:tblGrid>
      <w:tr w:rsidR="00B678DB" w:rsidRPr="00DB4A68" w:rsidTr="002343D7">
        <w:trPr>
          <w:trHeight w:val="300"/>
          <w:jc w:val="center"/>
        </w:trPr>
        <w:tc>
          <w:tcPr>
            <w:tcW w:w="8229" w:type="dxa"/>
            <w:gridSpan w:val="3"/>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b/>
                <w:szCs w:val="24"/>
                <w:lang w:eastAsia="pt-BR"/>
              </w:rPr>
              <w:t>Tabela 3</w:t>
            </w:r>
            <w:r w:rsidRPr="00DB4A68">
              <w:rPr>
                <w:rFonts w:eastAsia="Times New Roman" w:cs="Times New Roman"/>
                <w:szCs w:val="24"/>
                <w:lang w:eastAsia="pt-BR"/>
              </w:rPr>
              <w:t>. Quantitativos de domicílios para o estrato Urbano de Sergipe</w:t>
            </w:r>
          </w:p>
        </w:tc>
      </w:tr>
      <w:tr w:rsidR="00B678DB" w:rsidRPr="00DB4A68" w:rsidTr="002343D7">
        <w:trPr>
          <w:trHeight w:val="300"/>
          <w:jc w:val="center"/>
        </w:trPr>
        <w:tc>
          <w:tcPr>
            <w:tcW w:w="6190" w:type="dxa"/>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w:t>
            </w:r>
          </w:p>
        </w:tc>
        <w:tc>
          <w:tcPr>
            <w:tcW w:w="880"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1159"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r>
      <w:tr w:rsidR="00B678DB" w:rsidRPr="00DB4A68" w:rsidTr="002343D7">
        <w:trPr>
          <w:trHeight w:val="3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(K)</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228960</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276093</w:t>
            </w:r>
          </w:p>
        </w:tc>
      </w:tr>
      <w:tr w:rsidR="00B678DB" w:rsidRPr="00DB4A68" w:rsidTr="002343D7">
        <w:trPr>
          <w:trHeight w:val="3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K/A</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48.65%</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48.86%</w:t>
            </w:r>
          </w:p>
        </w:tc>
      </w:tr>
      <w:tr w:rsidR="00B678DB" w:rsidRPr="00DB4A68" w:rsidTr="002343D7">
        <w:trPr>
          <w:trHeight w:val="6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que responderam o questionário qualitativo (L)</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226469</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274612</w:t>
            </w:r>
          </w:p>
        </w:tc>
      </w:tr>
      <w:tr w:rsidR="00B678DB" w:rsidRPr="00DB4A68" w:rsidTr="002343D7">
        <w:trPr>
          <w:trHeight w:val="3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L/K</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98.91%</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99.46%</w:t>
            </w:r>
          </w:p>
        </w:tc>
      </w:tr>
      <w:tr w:rsidR="00B678DB" w:rsidRPr="00DB4A68" w:rsidTr="002343D7">
        <w:trPr>
          <w:trHeight w:val="6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lastRenderedPageBreak/>
              <w:t>Número de domicílios que responderam o questionário qualitativo e tiveram seus balanços calóricos calculados (M)</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200823</w:t>
            </w: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267875</w:t>
            </w:r>
          </w:p>
        </w:tc>
      </w:tr>
      <w:tr w:rsidR="00B678DB" w:rsidRPr="00DB4A68" w:rsidTr="002343D7">
        <w:trPr>
          <w:trHeight w:val="3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Q/K</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88.68%</w:t>
            </w:r>
          </w:p>
        </w:tc>
        <w:tc>
          <w:tcPr>
            <w:tcW w:w="1159" w:type="dxa"/>
            <w:tcBorders>
              <w:top w:val="nil"/>
              <w:left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97.55%</w:t>
            </w:r>
          </w:p>
        </w:tc>
      </w:tr>
      <w:tr w:rsidR="00B678DB" w:rsidRPr="00DB4A68" w:rsidTr="002343D7">
        <w:trPr>
          <w:trHeight w:val="6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satisfeitos com alimentação e cujo balanço calórico é nulo ou positivo (N)</w:t>
            </w:r>
          </w:p>
        </w:tc>
        <w:tc>
          <w:tcPr>
            <w:tcW w:w="880" w:type="dxa"/>
            <w:tcBorders>
              <w:top w:val="nil"/>
              <w:left w:val="nil"/>
              <w:bottom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20265</w:t>
            </w:r>
          </w:p>
        </w:tc>
        <w:tc>
          <w:tcPr>
            <w:tcW w:w="1159" w:type="dxa"/>
            <w:shd w:val="clear" w:color="auto" w:fill="auto"/>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27922</w:t>
            </w:r>
          </w:p>
        </w:tc>
      </w:tr>
      <w:tr w:rsidR="00B678DB" w:rsidRPr="00DB4A68" w:rsidTr="002343D7">
        <w:trPr>
          <w:trHeight w:val="3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N/M</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10.09%</w:t>
            </w:r>
          </w:p>
        </w:tc>
        <w:tc>
          <w:tcPr>
            <w:tcW w:w="1159" w:type="dxa"/>
            <w:tcBorders>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10.42%</w:t>
            </w:r>
          </w:p>
        </w:tc>
      </w:tr>
      <w:tr w:rsidR="00B678DB" w:rsidRPr="00DB4A68" w:rsidTr="002343D7">
        <w:trPr>
          <w:trHeight w:val="600"/>
          <w:jc w:val="center"/>
        </w:trPr>
        <w:tc>
          <w:tcPr>
            <w:tcW w:w="6190"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insatisfeitos com alimentação e cujo balanço calórico é negativo (O)</w:t>
            </w:r>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48957</w:t>
            </w:r>
          </w:p>
        </w:tc>
        <w:tc>
          <w:tcPr>
            <w:tcW w:w="1159"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93086</w:t>
            </w:r>
          </w:p>
        </w:tc>
      </w:tr>
      <w:tr w:rsidR="00B678DB" w:rsidRPr="00DB4A68" w:rsidTr="002343D7">
        <w:trPr>
          <w:trHeight w:val="300"/>
          <w:jc w:val="center"/>
        </w:trPr>
        <w:tc>
          <w:tcPr>
            <w:tcW w:w="6190" w:type="dxa"/>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O/M</w:t>
            </w:r>
          </w:p>
        </w:tc>
        <w:tc>
          <w:tcPr>
            <w:tcW w:w="880"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24.38%</w:t>
            </w:r>
          </w:p>
        </w:tc>
        <w:tc>
          <w:tcPr>
            <w:tcW w:w="1159"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34.75%</w:t>
            </w:r>
          </w:p>
        </w:tc>
      </w:tr>
      <w:tr w:rsidR="00B678DB" w:rsidRPr="00DB4A68" w:rsidTr="002343D7">
        <w:trPr>
          <w:trHeight w:val="300"/>
          <w:jc w:val="center"/>
        </w:trPr>
        <w:tc>
          <w:tcPr>
            <w:tcW w:w="619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p>
        </w:tc>
        <w:tc>
          <w:tcPr>
            <w:tcW w:w="880"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p>
        </w:tc>
        <w:tc>
          <w:tcPr>
            <w:tcW w:w="115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p>
        </w:tc>
      </w:tr>
    </w:tbl>
    <w:p w:rsidR="00B678DB" w:rsidRPr="00DB4A68" w:rsidRDefault="00B678DB" w:rsidP="00B678DB">
      <w:pPr>
        <w:contextualSpacing/>
        <w:jc w:val="both"/>
        <w:rPr>
          <w:rFonts w:cs="Times New Roman"/>
          <w:szCs w:val="24"/>
        </w:rPr>
      </w:pPr>
    </w:p>
    <w:p w:rsidR="00B678DB" w:rsidRDefault="00B678DB" w:rsidP="00B678DB">
      <w:pPr>
        <w:ind w:firstLine="708"/>
        <w:contextualSpacing/>
        <w:jc w:val="both"/>
        <w:rPr>
          <w:rFonts w:cs="Times New Roman"/>
          <w:szCs w:val="24"/>
        </w:rPr>
      </w:pPr>
      <w:r w:rsidRPr="00DB4A68">
        <w:rPr>
          <w:rFonts w:cs="Times New Roman"/>
          <w:szCs w:val="24"/>
        </w:rPr>
        <w:t xml:space="preserve">Por fim, o estrato Rural do estado foi o único que passou por redução de quantidade de domicílios, como visto no item P da tabela 4, e que, em ambos os anos, 100% dos domicílios responderam ao questionário qualitativo. </w:t>
      </w:r>
    </w:p>
    <w:p w:rsidR="000E2D46" w:rsidRPr="00DB4A68" w:rsidRDefault="000E2D46" w:rsidP="00B678DB">
      <w:pPr>
        <w:ind w:firstLine="708"/>
        <w:contextualSpacing/>
        <w:jc w:val="both"/>
        <w:rPr>
          <w:rFonts w:cs="Times New Roman"/>
          <w:szCs w:val="24"/>
        </w:rPr>
      </w:pPr>
    </w:p>
    <w:tbl>
      <w:tblPr>
        <w:tblW w:w="8220" w:type="dxa"/>
        <w:jc w:val="center"/>
        <w:tblInd w:w="70" w:type="dxa"/>
        <w:tblCellMar>
          <w:left w:w="70" w:type="dxa"/>
          <w:right w:w="70" w:type="dxa"/>
        </w:tblCellMar>
        <w:tblLook w:val="04A0" w:firstRow="1" w:lastRow="0" w:firstColumn="1" w:lastColumn="0" w:noHBand="0" w:noVBand="1"/>
      </w:tblPr>
      <w:tblGrid>
        <w:gridCol w:w="6565"/>
        <w:gridCol w:w="1040"/>
        <w:gridCol w:w="880"/>
      </w:tblGrid>
      <w:tr w:rsidR="00B678DB" w:rsidRPr="00DB4A68" w:rsidTr="002343D7">
        <w:trPr>
          <w:trHeight w:val="300"/>
          <w:jc w:val="center"/>
        </w:trPr>
        <w:tc>
          <w:tcPr>
            <w:tcW w:w="8220" w:type="dxa"/>
            <w:gridSpan w:val="3"/>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b/>
                <w:szCs w:val="24"/>
                <w:lang w:eastAsia="pt-BR"/>
              </w:rPr>
              <w:t>Tabela 4</w:t>
            </w:r>
            <w:r w:rsidRPr="00DB4A68">
              <w:rPr>
                <w:rFonts w:eastAsia="Times New Roman" w:cs="Times New Roman"/>
                <w:szCs w:val="24"/>
                <w:lang w:eastAsia="pt-BR"/>
              </w:rPr>
              <w:t>. Quantitativos de domicílios para o estrato Rural de Sergipe</w:t>
            </w:r>
          </w:p>
        </w:tc>
      </w:tr>
      <w:tr w:rsidR="00B678DB" w:rsidRPr="00DB4A68" w:rsidTr="002343D7">
        <w:trPr>
          <w:trHeight w:val="300"/>
          <w:jc w:val="center"/>
        </w:trPr>
        <w:tc>
          <w:tcPr>
            <w:tcW w:w="6565" w:type="dxa"/>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w:t>
            </w:r>
          </w:p>
        </w:tc>
        <w:tc>
          <w:tcPr>
            <w:tcW w:w="919"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736"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r>
      <w:tr w:rsidR="00B678DB" w:rsidRPr="00DB4A68" w:rsidTr="002343D7">
        <w:trPr>
          <w:trHeight w:val="3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(P)</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118450</w:t>
            </w:r>
          </w:p>
        </w:tc>
        <w:tc>
          <w:tcPr>
            <w:tcW w:w="736"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125711</w:t>
            </w:r>
          </w:p>
        </w:tc>
      </w:tr>
      <w:tr w:rsidR="00B678DB" w:rsidRPr="00DB4A68" w:rsidTr="002343D7">
        <w:trPr>
          <w:trHeight w:val="3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P/A</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25.2%</w:t>
            </w:r>
          </w:p>
        </w:tc>
        <w:tc>
          <w:tcPr>
            <w:tcW w:w="736"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22.2%</w:t>
            </w:r>
          </w:p>
        </w:tc>
      </w:tr>
      <w:tr w:rsidR="00B678DB" w:rsidRPr="00DB4A68" w:rsidTr="002343D7">
        <w:trPr>
          <w:trHeight w:val="6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que responderam o questionário qualitativo (Q)</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118450</w:t>
            </w:r>
          </w:p>
        </w:tc>
        <w:tc>
          <w:tcPr>
            <w:tcW w:w="736"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125711</w:t>
            </w:r>
          </w:p>
        </w:tc>
      </w:tr>
      <w:tr w:rsidR="00B678DB" w:rsidRPr="00DB4A68" w:rsidTr="002343D7">
        <w:trPr>
          <w:trHeight w:val="3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Q/P</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100.0%</w:t>
            </w:r>
          </w:p>
        </w:tc>
        <w:tc>
          <w:tcPr>
            <w:tcW w:w="736"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100.0%</w:t>
            </w:r>
          </w:p>
        </w:tc>
      </w:tr>
      <w:tr w:rsidR="00B678DB" w:rsidRPr="00DB4A68" w:rsidTr="002343D7">
        <w:trPr>
          <w:trHeight w:val="6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que responderam o questionário qualitativo e tiveram seus balanços calóricos calculados (R)</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109328</w:t>
            </w:r>
          </w:p>
        </w:tc>
        <w:tc>
          <w:tcPr>
            <w:tcW w:w="736"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115942</w:t>
            </w:r>
          </w:p>
        </w:tc>
      </w:tr>
      <w:tr w:rsidR="00B678DB" w:rsidRPr="00DB4A68" w:rsidTr="002343D7">
        <w:trPr>
          <w:trHeight w:val="3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R/P</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92.3%</w:t>
            </w:r>
          </w:p>
        </w:tc>
        <w:tc>
          <w:tcPr>
            <w:tcW w:w="736"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92.2%</w:t>
            </w:r>
          </w:p>
        </w:tc>
      </w:tr>
      <w:tr w:rsidR="00B678DB" w:rsidRPr="00DB4A68" w:rsidTr="002343D7">
        <w:trPr>
          <w:trHeight w:val="6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satisfeitos com alimentação e cujo balanço calórico é nulo ou positivo (S)</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5801.22</w:t>
            </w:r>
          </w:p>
        </w:tc>
        <w:tc>
          <w:tcPr>
            <w:tcW w:w="736"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14896</w:t>
            </w:r>
          </w:p>
        </w:tc>
      </w:tr>
      <w:tr w:rsidR="00B678DB" w:rsidRPr="00DB4A68" w:rsidTr="002343D7">
        <w:trPr>
          <w:trHeight w:val="3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S/R</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5.3%</w:t>
            </w:r>
          </w:p>
        </w:tc>
        <w:tc>
          <w:tcPr>
            <w:tcW w:w="736"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12.8%</w:t>
            </w:r>
          </w:p>
        </w:tc>
      </w:tr>
      <w:tr w:rsidR="00B678DB" w:rsidRPr="00DB4A68" w:rsidTr="002343D7">
        <w:trPr>
          <w:trHeight w:val="600"/>
          <w:jc w:val="center"/>
        </w:trPr>
        <w:tc>
          <w:tcPr>
            <w:tcW w:w="6565" w:type="dxa"/>
            <w:tcBorders>
              <w:top w:val="nil"/>
              <w:left w:val="nil"/>
              <w:bottom w:val="nil"/>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Número de domicílios insatisfeitos com alimentação e cujo balanço calórico é negativo (T)</w:t>
            </w:r>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24862.09</w:t>
            </w:r>
          </w:p>
        </w:tc>
        <w:tc>
          <w:tcPr>
            <w:tcW w:w="736"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52994</w:t>
            </w:r>
          </w:p>
        </w:tc>
      </w:tr>
      <w:tr w:rsidR="00B678DB" w:rsidRPr="00DB4A68" w:rsidTr="002343D7">
        <w:trPr>
          <w:trHeight w:val="300"/>
          <w:jc w:val="center"/>
        </w:trPr>
        <w:tc>
          <w:tcPr>
            <w:tcW w:w="6565" w:type="dxa"/>
            <w:tcBorders>
              <w:top w:val="nil"/>
              <w:left w:val="nil"/>
              <w:bottom w:val="single" w:sz="4" w:space="0" w:color="auto"/>
              <w:right w:val="nil"/>
            </w:tcBorders>
            <w:shd w:val="clear" w:color="auto" w:fill="auto"/>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T/R</w:t>
            </w:r>
          </w:p>
        </w:tc>
        <w:tc>
          <w:tcPr>
            <w:tcW w:w="919"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22.7%</w:t>
            </w:r>
          </w:p>
        </w:tc>
        <w:tc>
          <w:tcPr>
            <w:tcW w:w="736" w:type="dxa"/>
            <w:tcBorders>
              <w:top w:val="nil"/>
              <w:left w:val="nil"/>
              <w:bottom w:val="single" w:sz="4" w:space="0" w:color="auto"/>
              <w:right w:val="nil"/>
            </w:tcBorders>
            <w:shd w:val="clear" w:color="auto" w:fill="auto"/>
            <w:noWrap/>
            <w:vAlign w:val="bottom"/>
            <w:hideMark/>
          </w:tcPr>
          <w:p w:rsidR="00B678DB" w:rsidRPr="00DB4A68" w:rsidRDefault="00B678DB"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45.7%</w:t>
            </w:r>
          </w:p>
        </w:tc>
      </w:tr>
      <w:tr w:rsidR="00B678DB" w:rsidRPr="00DB4A68" w:rsidTr="002343D7">
        <w:trPr>
          <w:trHeight w:val="300"/>
          <w:jc w:val="center"/>
        </w:trPr>
        <w:tc>
          <w:tcPr>
            <w:tcW w:w="6565"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p>
        </w:tc>
        <w:tc>
          <w:tcPr>
            <w:tcW w:w="919"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p>
        </w:tc>
        <w:tc>
          <w:tcPr>
            <w:tcW w:w="736" w:type="dxa"/>
            <w:tcBorders>
              <w:top w:val="nil"/>
              <w:left w:val="nil"/>
              <w:bottom w:val="nil"/>
              <w:right w:val="nil"/>
            </w:tcBorders>
            <w:shd w:val="clear" w:color="auto" w:fill="auto"/>
            <w:noWrap/>
            <w:vAlign w:val="bottom"/>
            <w:hideMark/>
          </w:tcPr>
          <w:p w:rsidR="00B678DB" w:rsidRPr="00DB4A68" w:rsidRDefault="00B678DB" w:rsidP="002343D7">
            <w:pPr>
              <w:spacing w:after="0" w:line="240" w:lineRule="auto"/>
              <w:contextualSpacing/>
              <w:rPr>
                <w:rFonts w:eastAsia="Times New Roman" w:cs="Times New Roman"/>
                <w:szCs w:val="24"/>
                <w:lang w:eastAsia="pt-BR"/>
              </w:rPr>
            </w:pPr>
          </w:p>
        </w:tc>
      </w:tr>
    </w:tbl>
    <w:p w:rsidR="00B678DB" w:rsidRPr="00DB4A68" w:rsidRDefault="00B678DB" w:rsidP="00B678DB">
      <w:pPr>
        <w:contextualSpacing/>
        <w:jc w:val="both"/>
        <w:rPr>
          <w:rFonts w:cs="Times New Roman"/>
          <w:szCs w:val="24"/>
        </w:rPr>
      </w:pPr>
    </w:p>
    <w:p w:rsidR="00B678DB" w:rsidRDefault="00B678DB" w:rsidP="00DB6C13">
      <w:pPr>
        <w:ind w:firstLine="708"/>
        <w:contextualSpacing/>
        <w:jc w:val="both"/>
        <w:rPr>
          <w:rFonts w:cs="Times New Roman"/>
          <w:szCs w:val="24"/>
        </w:rPr>
      </w:pPr>
      <w:r w:rsidRPr="00DB4A68">
        <w:rPr>
          <w:rFonts w:cs="Times New Roman"/>
          <w:szCs w:val="24"/>
        </w:rPr>
        <w:t xml:space="preserve">Os domicílios que compuseram a amostra representavam aproximadamente 92% em ambos os anos. O </w:t>
      </w:r>
      <w:r>
        <w:rPr>
          <w:rFonts w:cs="Times New Roman"/>
          <w:szCs w:val="24"/>
        </w:rPr>
        <w:t>número</w:t>
      </w:r>
      <w:r w:rsidRPr="00DB4A68">
        <w:rPr>
          <w:rFonts w:cs="Times New Roman"/>
          <w:szCs w:val="24"/>
        </w:rPr>
        <w:t xml:space="preserve"> de domicílios que se enquadraram como não pobres nesse estrato foi o menor entre todos, representando 5,3% em 2002. Para 2009, esse </w:t>
      </w:r>
      <w:r>
        <w:rPr>
          <w:rFonts w:cs="Times New Roman"/>
          <w:szCs w:val="24"/>
        </w:rPr>
        <w:t>número</w:t>
      </w:r>
      <w:r w:rsidRPr="00DB4A68">
        <w:rPr>
          <w:rFonts w:cs="Times New Roman"/>
          <w:szCs w:val="24"/>
        </w:rPr>
        <w:t xml:space="preserve"> representava 12,8%. E quanto aos domicílios considerados pobres, para esse estrato, no ano de 2009, representaram 45,7% da amostra, sendo a maior participação entre todos os estratos. Para o ano de 2002, esse valor foi de 22,7%.</w:t>
      </w:r>
    </w:p>
    <w:p w:rsidR="00DF6FD2" w:rsidRDefault="00DF6FD2" w:rsidP="000E2D46">
      <w:pPr>
        <w:contextualSpacing/>
        <w:jc w:val="both"/>
        <w:rPr>
          <w:rFonts w:cs="Times New Roman"/>
          <w:szCs w:val="24"/>
        </w:rPr>
      </w:pPr>
    </w:p>
    <w:p w:rsidR="00DF6FD2" w:rsidRDefault="00DF6FD2" w:rsidP="00DF6FD2">
      <w:pPr>
        <w:ind w:firstLine="708"/>
        <w:contextualSpacing/>
        <w:jc w:val="both"/>
        <w:rPr>
          <w:rFonts w:cs="Times New Roman"/>
          <w:szCs w:val="24"/>
        </w:rPr>
      </w:pPr>
      <w:r>
        <w:rPr>
          <w:rFonts w:cs="Times New Roman"/>
          <w:szCs w:val="24"/>
        </w:rPr>
        <w:lastRenderedPageBreak/>
        <w:t xml:space="preserve">O quadro </w:t>
      </w:r>
      <w:r w:rsidR="000E2D46">
        <w:rPr>
          <w:rFonts w:cs="Times New Roman"/>
          <w:szCs w:val="24"/>
        </w:rPr>
        <w:t>um,</w:t>
      </w:r>
      <w:r>
        <w:rPr>
          <w:rFonts w:cs="Times New Roman"/>
          <w:szCs w:val="24"/>
        </w:rPr>
        <w:t xml:space="preserve"> a seguir</w:t>
      </w:r>
      <w:r w:rsidR="000E2D46">
        <w:rPr>
          <w:rFonts w:cs="Times New Roman"/>
          <w:szCs w:val="24"/>
        </w:rPr>
        <w:t>,</w:t>
      </w:r>
      <w:r>
        <w:rPr>
          <w:rFonts w:cs="Times New Roman"/>
          <w:szCs w:val="24"/>
        </w:rPr>
        <w:t xml:space="preserve"> apresenta a nomenclatura dos quadros de despesas utilizados aqui, servindo como um meio de facilitação da leitura dos resultados.</w:t>
      </w:r>
    </w:p>
    <w:p w:rsidR="00DF6FD2" w:rsidRDefault="00DF6FD2" w:rsidP="00DF6FD2">
      <w:pPr>
        <w:ind w:firstLine="708"/>
        <w:contextualSpacing/>
        <w:jc w:val="both"/>
        <w:rPr>
          <w:rFonts w:cs="Times New Roman"/>
          <w:szCs w:val="24"/>
        </w:rPr>
      </w:pPr>
    </w:p>
    <w:tbl>
      <w:tblPr>
        <w:tblW w:w="7812" w:type="dxa"/>
        <w:jc w:val="center"/>
        <w:tblInd w:w="70" w:type="dxa"/>
        <w:tblCellMar>
          <w:left w:w="70" w:type="dxa"/>
          <w:right w:w="70" w:type="dxa"/>
        </w:tblCellMar>
        <w:tblLook w:val="04A0" w:firstRow="1" w:lastRow="0" w:firstColumn="1" w:lastColumn="0" w:noHBand="0" w:noVBand="1"/>
      </w:tblPr>
      <w:tblGrid>
        <w:gridCol w:w="2142"/>
        <w:gridCol w:w="5670"/>
      </w:tblGrid>
      <w:tr w:rsidR="00DF6FD2" w:rsidRPr="00063022" w:rsidTr="002343D7">
        <w:trPr>
          <w:trHeight w:val="300"/>
          <w:jc w:val="center"/>
        </w:trPr>
        <w:tc>
          <w:tcPr>
            <w:tcW w:w="7812" w:type="dxa"/>
            <w:gridSpan w:val="2"/>
            <w:tcBorders>
              <w:top w:val="nil"/>
              <w:left w:val="nil"/>
              <w:bottom w:val="single" w:sz="4" w:space="0" w:color="auto"/>
              <w:right w:val="nil"/>
            </w:tcBorders>
            <w:shd w:val="clear" w:color="auto" w:fill="auto"/>
            <w:noWrap/>
            <w:vAlign w:val="bottom"/>
            <w:hideMark/>
          </w:tcPr>
          <w:p w:rsidR="00DF6FD2" w:rsidRPr="00063022" w:rsidRDefault="00DF6FD2" w:rsidP="002343D7">
            <w:pPr>
              <w:spacing w:after="0" w:line="240" w:lineRule="auto"/>
              <w:contextualSpacing/>
              <w:rPr>
                <w:rFonts w:eastAsia="Times New Roman" w:cs="Times New Roman"/>
                <w:color w:val="000000"/>
                <w:lang w:eastAsia="pt-BR"/>
              </w:rPr>
            </w:pPr>
            <w:r w:rsidRPr="00063022">
              <w:rPr>
                <w:rFonts w:eastAsia="Times New Roman" w:cs="Times New Roman"/>
                <w:b/>
                <w:bCs/>
                <w:color w:val="000000"/>
                <w:lang w:eastAsia="pt-BR"/>
              </w:rPr>
              <w:t xml:space="preserve">Quadro </w:t>
            </w:r>
            <w:proofErr w:type="gramStart"/>
            <w:r w:rsidRPr="00063022">
              <w:rPr>
                <w:rFonts w:eastAsia="Times New Roman" w:cs="Times New Roman"/>
                <w:b/>
                <w:bCs/>
                <w:color w:val="000000"/>
                <w:lang w:eastAsia="pt-BR"/>
              </w:rPr>
              <w:t>1</w:t>
            </w:r>
            <w:proofErr w:type="gramEnd"/>
            <w:r w:rsidRPr="00063022">
              <w:rPr>
                <w:rFonts w:eastAsia="Times New Roman" w:cs="Times New Roman"/>
                <w:b/>
                <w:bCs/>
                <w:color w:val="000000"/>
                <w:lang w:eastAsia="pt-BR"/>
              </w:rPr>
              <w:t>.</w:t>
            </w:r>
            <w:r w:rsidRPr="00063022">
              <w:rPr>
                <w:rFonts w:eastAsia="Times New Roman" w:cs="Times New Roman"/>
                <w:color w:val="000000"/>
                <w:lang w:eastAsia="pt-BR"/>
              </w:rPr>
              <w:t xml:space="preserve"> Discriminação dos quadros despesas usados nesse trabalho</w:t>
            </w:r>
          </w:p>
        </w:tc>
      </w:tr>
      <w:tr w:rsidR="00DF6FD2" w:rsidRPr="00063022" w:rsidTr="002343D7">
        <w:trPr>
          <w:trHeight w:val="330"/>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DF6FD2" w:rsidRPr="00063022" w:rsidRDefault="00DF6FD2" w:rsidP="002343D7">
            <w:pPr>
              <w:spacing w:after="0" w:line="240" w:lineRule="auto"/>
              <w:contextualSpacing/>
              <w:jc w:val="center"/>
              <w:rPr>
                <w:rFonts w:eastAsia="Times New Roman" w:cs="Times New Roman"/>
                <w:color w:val="000000"/>
                <w:lang w:eastAsia="pt-BR"/>
              </w:rPr>
            </w:pPr>
            <w:r w:rsidRPr="00063022">
              <w:rPr>
                <w:rFonts w:eastAsia="Times New Roman" w:cs="Times New Roman"/>
                <w:color w:val="000000"/>
                <w:lang w:eastAsia="pt-BR"/>
              </w:rPr>
              <w:t>Quadro de Despesa</w:t>
            </w:r>
          </w:p>
        </w:tc>
        <w:tc>
          <w:tcPr>
            <w:tcW w:w="5670" w:type="dxa"/>
            <w:tcBorders>
              <w:top w:val="nil"/>
              <w:left w:val="nil"/>
              <w:bottom w:val="single" w:sz="4" w:space="0" w:color="auto"/>
              <w:right w:val="single" w:sz="4" w:space="0" w:color="auto"/>
            </w:tcBorders>
            <w:shd w:val="clear" w:color="auto" w:fill="auto"/>
            <w:vAlign w:val="center"/>
            <w:hideMark/>
          </w:tcPr>
          <w:p w:rsidR="00DF6FD2" w:rsidRPr="00063022" w:rsidRDefault="00DF6FD2" w:rsidP="002343D7">
            <w:pPr>
              <w:spacing w:after="0" w:line="240" w:lineRule="auto"/>
              <w:contextualSpacing/>
              <w:jc w:val="center"/>
              <w:rPr>
                <w:rFonts w:eastAsia="Times New Roman" w:cs="Times New Roman"/>
                <w:color w:val="000000"/>
                <w:lang w:eastAsia="pt-BR"/>
              </w:rPr>
            </w:pPr>
            <w:r w:rsidRPr="00063022">
              <w:rPr>
                <w:rFonts w:eastAsia="Times New Roman" w:cs="Times New Roman"/>
                <w:color w:val="000000"/>
                <w:lang w:eastAsia="pt-BR"/>
              </w:rPr>
              <w:t>Discriminação dos quadros de despesas</w:t>
            </w:r>
          </w:p>
        </w:tc>
      </w:tr>
      <w:tr w:rsidR="00DF6FD2" w:rsidRPr="00063022" w:rsidTr="002343D7">
        <w:trPr>
          <w:trHeight w:val="300"/>
          <w:jc w:val="center"/>
        </w:trPr>
        <w:tc>
          <w:tcPr>
            <w:tcW w:w="2142" w:type="dxa"/>
            <w:tcBorders>
              <w:top w:val="nil"/>
              <w:left w:val="single" w:sz="4" w:space="0" w:color="auto"/>
              <w:bottom w:val="nil"/>
              <w:right w:val="single" w:sz="4" w:space="0" w:color="auto"/>
            </w:tcBorders>
            <w:shd w:val="clear" w:color="auto" w:fill="auto"/>
            <w:noWrap/>
            <w:vAlign w:val="bottom"/>
            <w:hideMark/>
          </w:tcPr>
          <w:p w:rsidR="000F07C7" w:rsidRDefault="000F07C7" w:rsidP="002343D7">
            <w:pPr>
              <w:spacing w:after="0" w:line="240" w:lineRule="auto"/>
              <w:contextualSpacing/>
              <w:rPr>
                <w:rFonts w:eastAsia="Times New Roman" w:cs="Times New Roman"/>
                <w:color w:val="000000"/>
                <w:lang w:eastAsia="pt-BR"/>
              </w:rPr>
            </w:pPr>
            <w:proofErr w:type="gramStart"/>
            <w:r>
              <w:rPr>
                <w:rFonts w:eastAsia="Times New Roman" w:cs="Times New Roman"/>
                <w:color w:val="000000"/>
                <w:lang w:eastAsia="pt-BR"/>
              </w:rPr>
              <w:t>7</w:t>
            </w:r>
            <w:proofErr w:type="gramEnd"/>
            <w:r>
              <w:rPr>
                <w:rFonts w:eastAsia="Times New Roman" w:cs="Times New Roman"/>
                <w:color w:val="000000"/>
                <w:lang w:eastAsia="pt-BR"/>
              </w:rPr>
              <w:t xml:space="preserve">   dias</w:t>
            </w:r>
          </w:p>
          <w:p w:rsidR="00DF6FD2" w:rsidRPr="00063022" w:rsidRDefault="00DF6FD2" w:rsidP="002343D7">
            <w:pPr>
              <w:spacing w:after="0" w:line="240" w:lineRule="auto"/>
              <w:contextualSpacing/>
              <w:rPr>
                <w:rFonts w:eastAsia="Times New Roman" w:cs="Times New Roman"/>
                <w:color w:val="000000"/>
                <w:lang w:eastAsia="pt-BR"/>
              </w:rPr>
            </w:pPr>
            <w:r w:rsidRPr="00063022">
              <w:rPr>
                <w:rFonts w:eastAsia="Times New Roman" w:cs="Times New Roman"/>
                <w:color w:val="000000"/>
                <w:lang w:eastAsia="pt-BR"/>
              </w:rPr>
              <w:t>90 dias</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r w:rsidRPr="00063022">
              <w:rPr>
                <w:rFonts w:eastAsia="Times New Roman" w:cs="Times New Roman"/>
                <w:color w:val="000000"/>
                <w:lang w:eastAsia="pt-BR"/>
              </w:rPr>
              <w:t> </w:t>
            </w:r>
          </w:p>
        </w:tc>
      </w:tr>
      <w:tr w:rsidR="00DF6FD2" w:rsidRPr="00063022" w:rsidTr="002343D7">
        <w:trPr>
          <w:trHeight w:val="570"/>
          <w:jc w:val="center"/>
        </w:trPr>
        <w:tc>
          <w:tcPr>
            <w:tcW w:w="2142" w:type="dxa"/>
            <w:tcBorders>
              <w:top w:val="nil"/>
              <w:left w:val="single" w:sz="4" w:space="0" w:color="auto"/>
              <w:bottom w:val="nil"/>
              <w:right w:val="single" w:sz="4" w:space="0" w:color="auto"/>
            </w:tcBorders>
            <w:shd w:val="clear" w:color="auto" w:fill="auto"/>
            <w:noWrap/>
            <w:hideMark/>
          </w:tcPr>
          <w:p w:rsidR="00DF6FD2" w:rsidRPr="00063022" w:rsidRDefault="00DF6FD2" w:rsidP="002343D7">
            <w:pPr>
              <w:spacing w:after="0" w:line="240" w:lineRule="auto"/>
              <w:contextualSpacing/>
              <w:jc w:val="right"/>
              <w:rPr>
                <w:rFonts w:eastAsia="Times New Roman" w:cs="Times New Roman"/>
                <w:color w:val="000000"/>
                <w:lang w:eastAsia="pt-BR"/>
              </w:rPr>
            </w:pPr>
            <w:r w:rsidRPr="00063022">
              <w:rPr>
                <w:rFonts w:eastAsia="Times New Roman" w:cs="Times New Roman"/>
                <w:color w:val="000000"/>
                <w:lang w:eastAsia="pt-BR"/>
              </w:rPr>
              <w:t xml:space="preserve"> </w:t>
            </w:r>
            <w:proofErr w:type="gramStart"/>
            <w:r w:rsidRPr="00063022">
              <w:rPr>
                <w:rFonts w:eastAsia="Times New Roman" w:cs="Times New Roman"/>
                <w:color w:val="000000"/>
                <w:lang w:eastAsia="pt-BR"/>
              </w:rPr>
              <w:t>quadro</w:t>
            </w:r>
            <w:proofErr w:type="gramEnd"/>
            <w:r w:rsidRPr="00063022">
              <w:rPr>
                <w:rFonts w:eastAsia="Times New Roman" w:cs="Times New Roman"/>
                <w:color w:val="000000"/>
                <w:lang w:eastAsia="pt-BR"/>
              </w:rPr>
              <w:t xml:space="preserve"> 7</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proofErr w:type="gramStart"/>
            <w:r w:rsidRPr="00063022">
              <w:rPr>
                <w:rFonts w:eastAsia="Times New Roman" w:cs="Times New Roman"/>
                <w:color w:val="000000"/>
                <w:lang w:eastAsia="pt-BR"/>
              </w:rPr>
              <w:t>aquisição</w:t>
            </w:r>
            <w:proofErr w:type="gramEnd"/>
            <w:r w:rsidRPr="00063022">
              <w:rPr>
                <w:rFonts w:eastAsia="Times New Roman" w:cs="Times New Roman"/>
                <w:color w:val="000000"/>
                <w:lang w:eastAsia="pt-BR"/>
              </w:rPr>
              <w:t xml:space="preserve"> de combustíveis domésticos e outros do domicílio principal</w:t>
            </w:r>
          </w:p>
        </w:tc>
      </w:tr>
      <w:tr w:rsidR="00DF6FD2" w:rsidRPr="00063022" w:rsidTr="002343D7">
        <w:trPr>
          <w:trHeight w:val="600"/>
          <w:jc w:val="center"/>
        </w:trPr>
        <w:tc>
          <w:tcPr>
            <w:tcW w:w="2142" w:type="dxa"/>
            <w:tcBorders>
              <w:top w:val="nil"/>
              <w:left w:val="single" w:sz="4" w:space="0" w:color="auto"/>
              <w:bottom w:val="nil"/>
              <w:right w:val="single" w:sz="4" w:space="0" w:color="auto"/>
            </w:tcBorders>
            <w:shd w:val="clear" w:color="auto" w:fill="auto"/>
            <w:noWrap/>
            <w:hideMark/>
          </w:tcPr>
          <w:p w:rsidR="00DF6FD2" w:rsidRPr="00063022" w:rsidRDefault="00DF6FD2" w:rsidP="002343D7">
            <w:pPr>
              <w:spacing w:after="0" w:line="240" w:lineRule="auto"/>
              <w:contextualSpacing/>
              <w:jc w:val="right"/>
              <w:rPr>
                <w:rFonts w:eastAsia="Times New Roman" w:cs="Times New Roman"/>
                <w:color w:val="000000"/>
                <w:lang w:eastAsia="pt-BR"/>
              </w:rPr>
            </w:pPr>
            <w:proofErr w:type="gramStart"/>
            <w:r w:rsidRPr="00063022">
              <w:rPr>
                <w:rFonts w:eastAsia="Times New Roman" w:cs="Times New Roman"/>
                <w:color w:val="000000"/>
                <w:lang w:eastAsia="pt-BR"/>
              </w:rPr>
              <w:t>quadro</w:t>
            </w:r>
            <w:proofErr w:type="gramEnd"/>
            <w:r w:rsidRPr="00063022">
              <w:rPr>
                <w:rFonts w:eastAsia="Times New Roman" w:cs="Times New Roman"/>
                <w:color w:val="000000"/>
                <w:lang w:eastAsia="pt-BR"/>
              </w:rPr>
              <w:t xml:space="preserve"> 8</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proofErr w:type="gramStart"/>
            <w:r w:rsidRPr="00063022">
              <w:rPr>
                <w:rFonts w:eastAsia="Times New Roman" w:cs="Times New Roman"/>
                <w:color w:val="000000"/>
                <w:lang w:eastAsia="pt-BR"/>
              </w:rPr>
              <w:t>conservação</w:t>
            </w:r>
            <w:proofErr w:type="gramEnd"/>
            <w:r w:rsidRPr="00063022">
              <w:rPr>
                <w:rFonts w:eastAsia="Times New Roman" w:cs="Times New Roman"/>
                <w:color w:val="000000"/>
                <w:lang w:eastAsia="pt-BR"/>
              </w:rPr>
              <w:t>, manutenção e pequenos reparos com habitação, jazigo e jardinagem</w:t>
            </w:r>
          </w:p>
        </w:tc>
      </w:tr>
      <w:tr w:rsidR="00DF6FD2" w:rsidRPr="00063022" w:rsidTr="002343D7">
        <w:trPr>
          <w:trHeight w:val="600"/>
          <w:jc w:val="center"/>
        </w:trPr>
        <w:tc>
          <w:tcPr>
            <w:tcW w:w="2142" w:type="dxa"/>
            <w:tcBorders>
              <w:top w:val="nil"/>
              <w:left w:val="single" w:sz="4" w:space="0" w:color="auto"/>
              <w:bottom w:val="nil"/>
              <w:right w:val="single" w:sz="4" w:space="0" w:color="auto"/>
            </w:tcBorders>
            <w:shd w:val="clear" w:color="auto" w:fill="auto"/>
            <w:noWrap/>
            <w:hideMark/>
          </w:tcPr>
          <w:p w:rsidR="00DF6FD2" w:rsidRPr="00063022" w:rsidRDefault="00DF6FD2" w:rsidP="002343D7">
            <w:pPr>
              <w:spacing w:after="0" w:line="240" w:lineRule="auto"/>
              <w:contextualSpacing/>
              <w:jc w:val="right"/>
              <w:rPr>
                <w:rFonts w:eastAsia="Times New Roman" w:cs="Times New Roman"/>
                <w:color w:val="000000"/>
                <w:lang w:eastAsia="pt-BR"/>
              </w:rPr>
            </w:pPr>
            <w:proofErr w:type="gramStart"/>
            <w:r w:rsidRPr="00063022">
              <w:rPr>
                <w:rFonts w:eastAsia="Times New Roman" w:cs="Times New Roman"/>
                <w:color w:val="000000"/>
                <w:lang w:eastAsia="pt-BR"/>
              </w:rPr>
              <w:t>quadro</w:t>
            </w:r>
            <w:proofErr w:type="gramEnd"/>
            <w:r w:rsidRPr="00063022">
              <w:rPr>
                <w:rFonts w:eastAsia="Times New Roman" w:cs="Times New Roman"/>
                <w:color w:val="000000"/>
                <w:lang w:eastAsia="pt-BR"/>
              </w:rPr>
              <w:t xml:space="preserve"> 9</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proofErr w:type="gramStart"/>
            <w:r w:rsidRPr="00063022">
              <w:rPr>
                <w:rFonts w:eastAsia="Times New Roman" w:cs="Times New Roman"/>
                <w:color w:val="000000"/>
                <w:lang w:eastAsia="pt-BR"/>
              </w:rPr>
              <w:t>consertos</w:t>
            </w:r>
            <w:proofErr w:type="gramEnd"/>
            <w:r w:rsidRPr="00063022">
              <w:rPr>
                <w:rFonts w:eastAsia="Times New Roman" w:cs="Times New Roman"/>
                <w:color w:val="000000"/>
                <w:lang w:eastAsia="pt-BR"/>
              </w:rPr>
              <w:t xml:space="preserve"> e manutenção de móveis, aparelhos, máquinas e utensílios de uso doméstico</w:t>
            </w:r>
          </w:p>
        </w:tc>
      </w:tr>
      <w:tr w:rsidR="00DF6FD2" w:rsidRPr="00063022" w:rsidTr="002343D7">
        <w:trPr>
          <w:trHeight w:val="300"/>
          <w:jc w:val="center"/>
        </w:trPr>
        <w:tc>
          <w:tcPr>
            <w:tcW w:w="2142" w:type="dxa"/>
            <w:tcBorders>
              <w:top w:val="nil"/>
              <w:left w:val="single" w:sz="4" w:space="0" w:color="auto"/>
              <w:bottom w:val="nil"/>
              <w:right w:val="single" w:sz="4" w:space="0" w:color="auto"/>
            </w:tcBorders>
            <w:shd w:val="clear" w:color="auto" w:fill="auto"/>
            <w:noWrap/>
            <w:vAlign w:val="bottom"/>
            <w:hideMark/>
          </w:tcPr>
          <w:p w:rsidR="00DF6FD2" w:rsidRPr="00063022" w:rsidRDefault="00DF6FD2" w:rsidP="002343D7">
            <w:pPr>
              <w:spacing w:after="0" w:line="240" w:lineRule="auto"/>
              <w:contextualSpacing/>
              <w:rPr>
                <w:rFonts w:eastAsia="Times New Roman" w:cs="Times New Roman"/>
                <w:color w:val="000000"/>
                <w:lang w:eastAsia="pt-BR"/>
              </w:rPr>
            </w:pPr>
            <w:r w:rsidRPr="00063022">
              <w:rPr>
                <w:rFonts w:eastAsia="Times New Roman" w:cs="Times New Roman"/>
                <w:color w:val="000000"/>
                <w:lang w:eastAsia="pt-BR"/>
              </w:rPr>
              <w:t>12 meses</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r w:rsidRPr="00063022">
              <w:rPr>
                <w:rFonts w:eastAsia="Times New Roman" w:cs="Times New Roman"/>
                <w:color w:val="000000"/>
                <w:lang w:eastAsia="pt-BR"/>
              </w:rPr>
              <w:t> </w:t>
            </w:r>
          </w:p>
        </w:tc>
      </w:tr>
      <w:tr w:rsidR="00DF6FD2" w:rsidRPr="00063022" w:rsidTr="002343D7">
        <w:trPr>
          <w:trHeight w:val="300"/>
          <w:jc w:val="center"/>
        </w:trPr>
        <w:tc>
          <w:tcPr>
            <w:tcW w:w="2142" w:type="dxa"/>
            <w:tcBorders>
              <w:top w:val="nil"/>
              <w:left w:val="single" w:sz="4" w:space="0" w:color="auto"/>
              <w:bottom w:val="nil"/>
              <w:right w:val="single" w:sz="4" w:space="0" w:color="auto"/>
            </w:tcBorders>
            <w:shd w:val="clear" w:color="auto" w:fill="auto"/>
            <w:noWrap/>
            <w:vAlign w:val="bottom"/>
            <w:hideMark/>
          </w:tcPr>
          <w:p w:rsidR="00DF6FD2" w:rsidRPr="00063022" w:rsidRDefault="00DF6FD2" w:rsidP="002343D7">
            <w:pPr>
              <w:spacing w:after="0" w:line="240" w:lineRule="auto"/>
              <w:contextualSpacing/>
              <w:jc w:val="right"/>
              <w:rPr>
                <w:rFonts w:eastAsia="Times New Roman" w:cs="Times New Roman"/>
                <w:color w:val="000000"/>
                <w:lang w:eastAsia="pt-BR"/>
              </w:rPr>
            </w:pPr>
            <w:proofErr w:type="gramStart"/>
            <w:r w:rsidRPr="00063022">
              <w:rPr>
                <w:rFonts w:eastAsia="Times New Roman" w:cs="Times New Roman"/>
                <w:color w:val="000000"/>
                <w:lang w:eastAsia="pt-BR"/>
              </w:rPr>
              <w:t>quadro</w:t>
            </w:r>
            <w:proofErr w:type="gramEnd"/>
            <w:r w:rsidRPr="00063022">
              <w:rPr>
                <w:rFonts w:eastAsia="Times New Roman" w:cs="Times New Roman"/>
                <w:color w:val="000000"/>
                <w:lang w:eastAsia="pt-BR"/>
              </w:rPr>
              <w:t xml:space="preserve"> 10</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proofErr w:type="gramStart"/>
            <w:r w:rsidRPr="00063022">
              <w:rPr>
                <w:rFonts w:eastAsia="Times New Roman" w:cs="Times New Roman"/>
                <w:color w:val="000000"/>
                <w:lang w:eastAsia="pt-BR"/>
              </w:rPr>
              <w:t>aluguel</w:t>
            </w:r>
            <w:proofErr w:type="gramEnd"/>
            <w:r w:rsidRPr="00063022">
              <w:rPr>
                <w:rFonts w:eastAsia="Times New Roman" w:cs="Times New Roman"/>
                <w:color w:val="000000"/>
                <w:lang w:eastAsia="pt-BR"/>
              </w:rPr>
              <w:t>, impostos e outras taxas do domicílio principal</w:t>
            </w:r>
          </w:p>
        </w:tc>
      </w:tr>
      <w:tr w:rsidR="00DF6FD2" w:rsidRPr="00063022" w:rsidTr="002343D7">
        <w:trPr>
          <w:trHeight w:val="300"/>
          <w:jc w:val="center"/>
        </w:trPr>
        <w:tc>
          <w:tcPr>
            <w:tcW w:w="2142" w:type="dxa"/>
            <w:tcBorders>
              <w:top w:val="nil"/>
              <w:left w:val="single" w:sz="4" w:space="0" w:color="auto"/>
              <w:bottom w:val="nil"/>
              <w:right w:val="single" w:sz="4" w:space="0" w:color="auto"/>
            </w:tcBorders>
            <w:shd w:val="clear" w:color="auto" w:fill="auto"/>
            <w:noWrap/>
            <w:vAlign w:val="bottom"/>
            <w:hideMark/>
          </w:tcPr>
          <w:p w:rsidR="00DF6FD2" w:rsidRPr="00063022" w:rsidRDefault="00DF6FD2" w:rsidP="002343D7">
            <w:pPr>
              <w:spacing w:after="0" w:line="240" w:lineRule="auto"/>
              <w:contextualSpacing/>
              <w:jc w:val="right"/>
              <w:rPr>
                <w:rFonts w:eastAsia="Times New Roman" w:cs="Times New Roman"/>
                <w:color w:val="000000"/>
                <w:lang w:eastAsia="pt-BR"/>
              </w:rPr>
            </w:pPr>
            <w:proofErr w:type="gramStart"/>
            <w:r w:rsidRPr="00063022">
              <w:rPr>
                <w:rFonts w:eastAsia="Times New Roman" w:cs="Times New Roman"/>
                <w:color w:val="000000"/>
                <w:lang w:eastAsia="pt-BR"/>
              </w:rPr>
              <w:t>quadro</w:t>
            </w:r>
            <w:proofErr w:type="gramEnd"/>
            <w:r w:rsidRPr="00063022">
              <w:rPr>
                <w:rFonts w:eastAsia="Times New Roman" w:cs="Times New Roman"/>
                <w:color w:val="000000"/>
                <w:lang w:eastAsia="pt-BR"/>
              </w:rPr>
              <w:t xml:space="preserve"> 11</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proofErr w:type="gramStart"/>
            <w:r w:rsidRPr="00063022">
              <w:rPr>
                <w:rFonts w:eastAsia="Times New Roman" w:cs="Times New Roman"/>
                <w:color w:val="000000"/>
                <w:lang w:eastAsia="pt-BR"/>
              </w:rPr>
              <w:t>construção</w:t>
            </w:r>
            <w:proofErr w:type="gramEnd"/>
            <w:r w:rsidRPr="00063022">
              <w:rPr>
                <w:rFonts w:eastAsia="Times New Roman" w:cs="Times New Roman"/>
                <w:color w:val="000000"/>
                <w:lang w:eastAsia="pt-BR"/>
              </w:rPr>
              <w:t xml:space="preserve"> e reforma de habitação e jazigo</w:t>
            </w:r>
          </w:p>
        </w:tc>
      </w:tr>
      <w:tr w:rsidR="00DF6FD2" w:rsidRPr="00063022" w:rsidTr="002343D7">
        <w:trPr>
          <w:trHeight w:val="300"/>
          <w:jc w:val="center"/>
        </w:trPr>
        <w:tc>
          <w:tcPr>
            <w:tcW w:w="2142" w:type="dxa"/>
            <w:tcBorders>
              <w:top w:val="nil"/>
              <w:left w:val="single" w:sz="4" w:space="0" w:color="auto"/>
              <w:bottom w:val="nil"/>
              <w:right w:val="single" w:sz="4" w:space="0" w:color="auto"/>
            </w:tcBorders>
            <w:shd w:val="clear" w:color="auto" w:fill="auto"/>
            <w:noWrap/>
            <w:vAlign w:val="bottom"/>
            <w:hideMark/>
          </w:tcPr>
          <w:p w:rsidR="00DF6FD2" w:rsidRPr="00063022" w:rsidRDefault="00DF6FD2" w:rsidP="002343D7">
            <w:pPr>
              <w:spacing w:after="0" w:line="240" w:lineRule="auto"/>
              <w:contextualSpacing/>
              <w:rPr>
                <w:rFonts w:eastAsia="Times New Roman" w:cs="Times New Roman"/>
                <w:color w:val="000000"/>
                <w:lang w:eastAsia="pt-BR"/>
              </w:rPr>
            </w:pPr>
            <w:r w:rsidRPr="00063022">
              <w:rPr>
                <w:rFonts w:eastAsia="Times New Roman" w:cs="Times New Roman"/>
                <w:color w:val="000000"/>
                <w:lang w:eastAsia="pt-BR"/>
              </w:rPr>
              <w:t>Outras</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r w:rsidRPr="00063022">
              <w:rPr>
                <w:rFonts w:eastAsia="Times New Roman" w:cs="Times New Roman"/>
                <w:color w:val="000000"/>
                <w:lang w:eastAsia="pt-BR"/>
              </w:rPr>
              <w:t> </w:t>
            </w:r>
          </w:p>
        </w:tc>
      </w:tr>
      <w:tr w:rsidR="00DF6FD2" w:rsidRPr="00063022" w:rsidTr="002343D7">
        <w:trPr>
          <w:trHeight w:val="600"/>
          <w:jc w:val="center"/>
        </w:trPr>
        <w:tc>
          <w:tcPr>
            <w:tcW w:w="2142" w:type="dxa"/>
            <w:tcBorders>
              <w:top w:val="nil"/>
              <w:left w:val="single" w:sz="4" w:space="0" w:color="auto"/>
              <w:bottom w:val="nil"/>
              <w:right w:val="single" w:sz="4" w:space="0" w:color="auto"/>
            </w:tcBorders>
            <w:shd w:val="clear" w:color="auto" w:fill="auto"/>
            <w:noWrap/>
            <w:hideMark/>
          </w:tcPr>
          <w:p w:rsidR="00DF6FD2" w:rsidRPr="00063022" w:rsidRDefault="00DF6FD2" w:rsidP="002343D7">
            <w:pPr>
              <w:spacing w:after="0" w:line="240" w:lineRule="auto"/>
              <w:contextualSpacing/>
              <w:jc w:val="right"/>
              <w:rPr>
                <w:rFonts w:eastAsia="Times New Roman" w:cs="Times New Roman"/>
                <w:color w:val="000000"/>
                <w:lang w:eastAsia="pt-BR"/>
              </w:rPr>
            </w:pPr>
            <w:proofErr w:type="gramStart"/>
            <w:r w:rsidRPr="00063022">
              <w:rPr>
                <w:rFonts w:eastAsia="Times New Roman" w:cs="Times New Roman"/>
                <w:color w:val="000000"/>
                <w:lang w:eastAsia="pt-BR"/>
              </w:rPr>
              <w:t>quadro</w:t>
            </w:r>
            <w:proofErr w:type="gramEnd"/>
            <w:r w:rsidRPr="00063022">
              <w:rPr>
                <w:rFonts w:eastAsia="Times New Roman" w:cs="Times New Roman"/>
                <w:color w:val="000000"/>
                <w:lang w:eastAsia="pt-BR"/>
              </w:rPr>
              <w:t xml:space="preserve"> 15</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proofErr w:type="gramStart"/>
            <w:r w:rsidRPr="00063022">
              <w:rPr>
                <w:rFonts w:eastAsia="Times New Roman" w:cs="Times New Roman"/>
                <w:color w:val="000000"/>
                <w:lang w:eastAsia="pt-BR"/>
              </w:rPr>
              <w:t>aquisição</w:t>
            </w:r>
            <w:proofErr w:type="gramEnd"/>
            <w:r w:rsidRPr="00063022">
              <w:rPr>
                <w:rFonts w:eastAsia="Times New Roman" w:cs="Times New Roman"/>
                <w:color w:val="000000"/>
                <w:lang w:eastAsia="pt-BR"/>
              </w:rPr>
              <w:t xml:space="preserve"> de aparelhos, máquinas e outras utilidades de uso doméstico</w:t>
            </w:r>
          </w:p>
        </w:tc>
      </w:tr>
      <w:tr w:rsidR="00DF6FD2" w:rsidRPr="00063022" w:rsidTr="002343D7">
        <w:trPr>
          <w:trHeight w:val="600"/>
          <w:jc w:val="center"/>
        </w:trPr>
        <w:tc>
          <w:tcPr>
            <w:tcW w:w="2142" w:type="dxa"/>
            <w:tcBorders>
              <w:top w:val="nil"/>
              <w:left w:val="single" w:sz="4" w:space="0" w:color="auto"/>
              <w:bottom w:val="nil"/>
              <w:right w:val="single" w:sz="4" w:space="0" w:color="auto"/>
            </w:tcBorders>
            <w:shd w:val="clear" w:color="auto" w:fill="auto"/>
            <w:noWrap/>
            <w:hideMark/>
          </w:tcPr>
          <w:p w:rsidR="00DF6FD2" w:rsidRPr="00063022" w:rsidRDefault="00DF6FD2" w:rsidP="002343D7">
            <w:pPr>
              <w:spacing w:after="0" w:line="240" w:lineRule="auto"/>
              <w:contextualSpacing/>
              <w:jc w:val="right"/>
              <w:rPr>
                <w:rFonts w:eastAsia="Times New Roman" w:cs="Times New Roman"/>
                <w:color w:val="000000"/>
                <w:lang w:eastAsia="pt-BR"/>
              </w:rPr>
            </w:pPr>
            <w:proofErr w:type="gramStart"/>
            <w:r w:rsidRPr="00063022">
              <w:rPr>
                <w:rFonts w:eastAsia="Times New Roman" w:cs="Times New Roman"/>
                <w:color w:val="000000"/>
                <w:lang w:eastAsia="pt-BR"/>
              </w:rPr>
              <w:t>quadro</w:t>
            </w:r>
            <w:proofErr w:type="gramEnd"/>
            <w:r w:rsidRPr="00063022">
              <w:rPr>
                <w:rFonts w:eastAsia="Times New Roman" w:cs="Times New Roman"/>
                <w:color w:val="000000"/>
                <w:lang w:eastAsia="pt-BR"/>
              </w:rPr>
              <w:t xml:space="preserve"> 16</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proofErr w:type="gramStart"/>
            <w:r w:rsidRPr="00063022">
              <w:rPr>
                <w:rFonts w:eastAsia="Times New Roman" w:cs="Times New Roman"/>
                <w:color w:val="000000"/>
                <w:lang w:eastAsia="pt-BR"/>
              </w:rPr>
              <w:t>aquisição</w:t>
            </w:r>
            <w:proofErr w:type="gramEnd"/>
            <w:r w:rsidRPr="00063022">
              <w:rPr>
                <w:rFonts w:eastAsia="Times New Roman" w:cs="Times New Roman"/>
                <w:color w:val="000000"/>
                <w:lang w:eastAsia="pt-BR"/>
              </w:rPr>
              <w:t xml:space="preserve"> de ferramentas, animais domésticos, equipamentos musicais e de acampamento</w:t>
            </w:r>
          </w:p>
        </w:tc>
      </w:tr>
      <w:tr w:rsidR="00DF6FD2" w:rsidRPr="00063022" w:rsidTr="002343D7">
        <w:trPr>
          <w:trHeight w:val="300"/>
          <w:jc w:val="center"/>
        </w:trPr>
        <w:tc>
          <w:tcPr>
            <w:tcW w:w="2142" w:type="dxa"/>
            <w:tcBorders>
              <w:top w:val="nil"/>
              <w:left w:val="single" w:sz="4" w:space="0" w:color="auto"/>
              <w:bottom w:val="nil"/>
              <w:right w:val="single" w:sz="4" w:space="0" w:color="auto"/>
            </w:tcBorders>
            <w:shd w:val="clear" w:color="auto" w:fill="auto"/>
            <w:noWrap/>
            <w:vAlign w:val="bottom"/>
            <w:hideMark/>
          </w:tcPr>
          <w:p w:rsidR="00DF6FD2" w:rsidRPr="00063022" w:rsidRDefault="00DF6FD2" w:rsidP="002343D7">
            <w:pPr>
              <w:spacing w:after="0" w:line="240" w:lineRule="auto"/>
              <w:contextualSpacing/>
              <w:jc w:val="right"/>
              <w:rPr>
                <w:rFonts w:eastAsia="Times New Roman" w:cs="Times New Roman"/>
                <w:color w:val="000000"/>
                <w:lang w:eastAsia="pt-BR"/>
              </w:rPr>
            </w:pPr>
            <w:proofErr w:type="gramStart"/>
            <w:r w:rsidRPr="00063022">
              <w:rPr>
                <w:rFonts w:eastAsia="Times New Roman" w:cs="Times New Roman"/>
                <w:color w:val="000000"/>
                <w:lang w:eastAsia="pt-BR"/>
              </w:rPr>
              <w:t>quadro</w:t>
            </w:r>
            <w:proofErr w:type="gramEnd"/>
            <w:r w:rsidRPr="00063022">
              <w:rPr>
                <w:rFonts w:eastAsia="Times New Roman" w:cs="Times New Roman"/>
                <w:color w:val="000000"/>
                <w:lang w:eastAsia="pt-BR"/>
              </w:rPr>
              <w:t xml:space="preserve"> 17</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proofErr w:type="gramStart"/>
            <w:r w:rsidRPr="00063022">
              <w:rPr>
                <w:rFonts w:eastAsia="Times New Roman" w:cs="Times New Roman"/>
                <w:color w:val="000000"/>
                <w:lang w:eastAsia="pt-BR"/>
              </w:rPr>
              <w:t>aquisição</w:t>
            </w:r>
            <w:proofErr w:type="gramEnd"/>
            <w:r w:rsidRPr="00063022">
              <w:rPr>
                <w:rFonts w:eastAsia="Times New Roman" w:cs="Times New Roman"/>
                <w:color w:val="000000"/>
                <w:lang w:eastAsia="pt-BR"/>
              </w:rPr>
              <w:t xml:space="preserve"> de móveis</w:t>
            </w:r>
          </w:p>
        </w:tc>
      </w:tr>
      <w:tr w:rsidR="00DF6FD2" w:rsidRPr="00063022" w:rsidTr="002343D7">
        <w:trPr>
          <w:trHeight w:val="300"/>
          <w:jc w:val="center"/>
        </w:trPr>
        <w:tc>
          <w:tcPr>
            <w:tcW w:w="2142" w:type="dxa"/>
            <w:tcBorders>
              <w:top w:val="nil"/>
              <w:left w:val="single" w:sz="4" w:space="0" w:color="auto"/>
              <w:bottom w:val="nil"/>
              <w:right w:val="single" w:sz="4" w:space="0" w:color="auto"/>
            </w:tcBorders>
            <w:shd w:val="clear" w:color="auto" w:fill="auto"/>
            <w:noWrap/>
            <w:vAlign w:val="bottom"/>
            <w:hideMark/>
          </w:tcPr>
          <w:p w:rsidR="00DF6FD2" w:rsidRPr="00063022" w:rsidRDefault="00DF6FD2" w:rsidP="002343D7">
            <w:pPr>
              <w:spacing w:after="0" w:line="240" w:lineRule="auto"/>
              <w:contextualSpacing/>
              <w:rPr>
                <w:rFonts w:eastAsia="Times New Roman" w:cs="Times New Roman"/>
                <w:color w:val="000000"/>
                <w:lang w:eastAsia="pt-BR"/>
              </w:rPr>
            </w:pPr>
            <w:r w:rsidRPr="00063022">
              <w:rPr>
                <w:rFonts w:eastAsia="Times New Roman" w:cs="Times New Roman"/>
                <w:color w:val="000000"/>
                <w:lang w:eastAsia="pt-BR"/>
              </w:rPr>
              <w:t>Saúde</w:t>
            </w:r>
          </w:p>
        </w:tc>
        <w:tc>
          <w:tcPr>
            <w:tcW w:w="5670" w:type="dxa"/>
            <w:tcBorders>
              <w:top w:val="nil"/>
              <w:left w:val="nil"/>
              <w:bottom w:val="nil"/>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r w:rsidRPr="00063022">
              <w:rPr>
                <w:rFonts w:eastAsia="Times New Roman" w:cs="Times New Roman"/>
                <w:color w:val="000000"/>
                <w:lang w:eastAsia="pt-BR"/>
              </w:rPr>
              <w:t> </w:t>
            </w:r>
          </w:p>
        </w:tc>
      </w:tr>
      <w:tr w:rsidR="00DF6FD2" w:rsidRPr="00063022" w:rsidTr="002343D7">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6FD2" w:rsidRPr="00063022" w:rsidRDefault="00DF6FD2" w:rsidP="002343D7">
            <w:pPr>
              <w:spacing w:after="0" w:line="240" w:lineRule="auto"/>
              <w:contextualSpacing/>
              <w:jc w:val="right"/>
              <w:rPr>
                <w:rFonts w:eastAsia="Times New Roman" w:cs="Times New Roman"/>
                <w:color w:val="000000"/>
                <w:lang w:eastAsia="pt-BR"/>
              </w:rPr>
            </w:pPr>
            <w:proofErr w:type="gramStart"/>
            <w:r w:rsidRPr="00063022">
              <w:rPr>
                <w:rFonts w:eastAsia="Times New Roman" w:cs="Times New Roman"/>
                <w:color w:val="000000"/>
                <w:lang w:eastAsia="pt-BR"/>
              </w:rPr>
              <w:t>quadro</w:t>
            </w:r>
            <w:proofErr w:type="gramEnd"/>
            <w:r w:rsidRPr="00063022">
              <w:rPr>
                <w:rFonts w:eastAsia="Times New Roman" w:cs="Times New Roman"/>
                <w:color w:val="000000"/>
                <w:lang w:eastAsia="pt-BR"/>
              </w:rPr>
              <w:t xml:space="preserve"> 42</w:t>
            </w:r>
          </w:p>
        </w:tc>
        <w:tc>
          <w:tcPr>
            <w:tcW w:w="5670" w:type="dxa"/>
            <w:tcBorders>
              <w:top w:val="nil"/>
              <w:left w:val="nil"/>
              <w:bottom w:val="single" w:sz="4" w:space="0" w:color="auto"/>
              <w:right w:val="single" w:sz="4" w:space="0" w:color="auto"/>
            </w:tcBorders>
            <w:shd w:val="clear" w:color="auto" w:fill="auto"/>
            <w:vAlign w:val="bottom"/>
            <w:hideMark/>
          </w:tcPr>
          <w:p w:rsidR="00DF6FD2" w:rsidRPr="00063022" w:rsidRDefault="00DF6FD2" w:rsidP="002343D7">
            <w:pPr>
              <w:spacing w:after="0" w:line="240" w:lineRule="auto"/>
              <w:contextualSpacing/>
              <w:rPr>
                <w:rFonts w:eastAsia="Times New Roman" w:cs="Times New Roman"/>
                <w:color w:val="000000"/>
                <w:lang w:eastAsia="pt-BR"/>
              </w:rPr>
            </w:pPr>
            <w:proofErr w:type="gramStart"/>
            <w:r w:rsidRPr="00063022">
              <w:rPr>
                <w:rFonts w:eastAsia="Times New Roman" w:cs="Times New Roman"/>
                <w:color w:val="000000"/>
                <w:lang w:eastAsia="pt-BR"/>
              </w:rPr>
              <w:t>despesas</w:t>
            </w:r>
            <w:proofErr w:type="gramEnd"/>
            <w:r w:rsidRPr="00063022">
              <w:rPr>
                <w:rFonts w:eastAsia="Times New Roman" w:cs="Times New Roman"/>
                <w:color w:val="000000"/>
                <w:lang w:eastAsia="pt-BR"/>
              </w:rPr>
              <w:t xml:space="preserve"> com serviços de saúde</w:t>
            </w:r>
          </w:p>
        </w:tc>
      </w:tr>
      <w:tr w:rsidR="00DF6FD2" w:rsidRPr="00063022" w:rsidTr="002343D7">
        <w:trPr>
          <w:trHeight w:val="300"/>
          <w:jc w:val="center"/>
        </w:trPr>
        <w:tc>
          <w:tcPr>
            <w:tcW w:w="7812" w:type="dxa"/>
            <w:gridSpan w:val="2"/>
            <w:tcBorders>
              <w:top w:val="nil"/>
              <w:left w:val="nil"/>
              <w:bottom w:val="nil"/>
              <w:right w:val="nil"/>
            </w:tcBorders>
            <w:shd w:val="clear" w:color="auto" w:fill="auto"/>
            <w:noWrap/>
            <w:vAlign w:val="bottom"/>
            <w:hideMark/>
          </w:tcPr>
          <w:p w:rsidR="00DF6FD2" w:rsidRPr="00063022" w:rsidRDefault="00DF6FD2" w:rsidP="002343D7">
            <w:pPr>
              <w:spacing w:after="0" w:line="240" w:lineRule="auto"/>
              <w:contextualSpacing/>
              <w:rPr>
                <w:rFonts w:eastAsia="Times New Roman" w:cs="Times New Roman"/>
                <w:color w:val="000000"/>
                <w:lang w:eastAsia="pt-BR"/>
              </w:rPr>
            </w:pPr>
            <w:r w:rsidRPr="00063022">
              <w:rPr>
                <w:rFonts w:eastAsia="Times New Roman" w:cs="Times New Roman"/>
                <w:color w:val="000000"/>
                <w:lang w:eastAsia="pt-BR"/>
              </w:rPr>
              <w:t xml:space="preserve">Fonte: Elaboração própria a partir dos dados das </w:t>
            </w:r>
            <w:proofErr w:type="spellStart"/>
            <w:r w:rsidRPr="00063022">
              <w:rPr>
                <w:rFonts w:eastAsia="Times New Roman" w:cs="Times New Roman"/>
                <w:color w:val="000000"/>
                <w:lang w:eastAsia="pt-BR"/>
              </w:rPr>
              <w:t>POFs</w:t>
            </w:r>
            <w:proofErr w:type="spellEnd"/>
            <w:r w:rsidRPr="00063022">
              <w:rPr>
                <w:rFonts w:eastAsia="Times New Roman" w:cs="Times New Roman"/>
                <w:color w:val="000000"/>
                <w:lang w:eastAsia="pt-BR"/>
              </w:rPr>
              <w:t>.</w:t>
            </w:r>
          </w:p>
        </w:tc>
      </w:tr>
    </w:tbl>
    <w:p w:rsidR="000744EC" w:rsidRPr="00DF6FD2" w:rsidRDefault="000744EC" w:rsidP="007B702C">
      <w:pPr>
        <w:contextualSpacing/>
        <w:jc w:val="both"/>
        <w:rPr>
          <w:rFonts w:cs="Times New Roman"/>
          <w:b/>
          <w:szCs w:val="24"/>
        </w:rPr>
      </w:pPr>
    </w:p>
    <w:p w:rsidR="000744EC" w:rsidRPr="002B0134" w:rsidRDefault="000744EC" w:rsidP="000E2D46">
      <w:pPr>
        <w:pStyle w:val="PargrafodaLista"/>
        <w:numPr>
          <w:ilvl w:val="1"/>
          <w:numId w:val="1"/>
        </w:numPr>
        <w:jc w:val="both"/>
        <w:rPr>
          <w:rFonts w:cs="Times New Roman"/>
          <w:b/>
          <w:caps/>
          <w:szCs w:val="24"/>
        </w:rPr>
      </w:pPr>
      <w:r w:rsidRPr="002B0134">
        <w:rPr>
          <w:rFonts w:cs="Times New Roman"/>
          <w:b/>
          <w:caps/>
          <w:szCs w:val="24"/>
        </w:rPr>
        <w:t>Estrato Capital</w:t>
      </w:r>
    </w:p>
    <w:p w:rsidR="000744EC" w:rsidRDefault="000744EC" w:rsidP="007B702C">
      <w:pPr>
        <w:ind w:firstLine="708"/>
        <w:contextualSpacing/>
        <w:jc w:val="both"/>
        <w:rPr>
          <w:rFonts w:cs="Times New Roman"/>
          <w:szCs w:val="24"/>
        </w:rPr>
      </w:pPr>
    </w:p>
    <w:p w:rsidR="000744EC" w:rsidRDefault="000744EC" w:rsidP="007B702C">
      <w:pPr>
        <w:ind w:firstLine="708"/>
        <w:contextualSpacing/>
        <w:jc w:val="both"/>
        <w:rPr>
          <w:rFonts w:cs="Times New Roman"/>
          <w:szCs w:val="24"/>
        </w:rPr>
      </w:pPr>
      <w:r w:rsidRPr="00DB4A68">
        <w:rPr>
          <w:rFonts w:cs="Times New Roman"/>
          <w:szCs w:val="24"/>
        </w:rPr>
        <w:t>De acordo com a análise dos preços relativos foram selecionados, para o estrato Capital, os itens de de</w:t>
      </w:r>
      <w:r w:rsidR="00DF6FD2">
        <w:rPr>
          <w:rFonts w:cs="Times New Roman"/>
          <w:szCs w:val="24"/>
        </w:rPr>
        <w:t>spesas apresentados na tabela 5</w:t>
      </w:r>
      <w:r w:rsidRPr="00DB4A68">
        <w:rPr>
          <w:rFonts w:cs="Times New Roman"/>
          <w:szCs w:val="24"/>
        </w:rPr>
        <w:t xml:space="preserve">, em que aparecem também os preços relativos previamente calculados para os dois anos de análise e suas variações, tanto para domicílios pobres quanto para não pobres. Para esses grupos de despesas, como </w:t>
      </w:r>
      <w:proofErr w:type="gramStart"/>
      <w:r w:rsidRPr="00DB4A68">
        <w:rPr>
          <w:rFonts w:cs="Times New Roman"/>
          <w:szCs w:val="24"/>
        </w:rPr>
        <w:t>pode-se</w:t>
      </w:r>
      <w:proofErr w:type="gramEnd"/>
      <w:r w:rsidRPr="00DB4A68">
        <w:rPr>
          <w:rFonts w:cs="Times New Roman"/>
          <w:szCs w:val="24"/>
        </w:rPr>
        <w:t xml:space="preserve"> notar na tabela, as variações dos preços relativos são mais prejudiciais aos domicílios pobres. </w:t>
      </w:r>
    </w:p>
    <w:p w:rsidR="000744EC" w:rsidRDefault="000744EC" w:rsidP="007B702C">
      <w:pPr>
        <w:ind w:firstLine="708"/>
        <w:contextualSpacing/>
        <w:jc w:val="both"/>
        <w:rPr>
          <w:rFonts w:cs="Times New Roman"/>
          <w:szCs w:val="24"/>
        </w:rPr>
      </w:pPr>
      <w:r w:rsidRPr="00DB4A68">
        <w:rPr>
          <w:rFonts w:cs="Times New Roman"/>
          <w:szCs w:val="24"/>
        </w:rPr>
        <w:t xml:space="preserve">Para os domicílios que realizaram gastos com os itens do quadro </w:t>
      </w:r>
      <w:proofErr w:type="gramStart"/>
      <w:r w:rsidRPr="00DB4A68">
        <w:rPr>
          <w:rFonts w:cs="Times New Roman"/>
          <w:szCs w:val="24"/>
        </w:rPr>
        <w:t>7</w:t>
      </w:r>
      <w:proofErr w:type="gramEnd"/>
      <w:r w:rsidRPr="00DB4A68">
        <w:rPr>
          <w:rFonts w:cs="Times New Roman"/>
          <w:szCs w:val="24"/>
        </w:rPr>
        <w:t xml:space="preserve"> da tabela de despesas de 90 dias que representa gastos com aquisição de combustíveis domésticos e outros do domicílio principal, o preço relativo para os domicílios pobres reduziu-se em 29%, mas não reduziu tanto quanto reduziu para os domicílios não pobres, 55%. Mesmo caso ocorreu para os domicílios com despesas no quadro 10 da tabela de despesas de 12 </w:t>
      </w:r>
      <w:r w:rsidRPr="00DB4A68">
        <w:rPr>
          <w:rFonts w:cs="Times New Roman"/>
          <w:szCs w:val="24"/>
        </w:rPr>
        <w:lastRenderedPageBreak/>
        <w:t xml:space="preserve">meses, ou seja, gastos com aluguel, impostos e outras taxas do domicílio principal. Para o caso do quadro </w:t>
      </w:r>
      <w:proofErr w:type="gramStart"/>
      <w:r w:rsidRPr="00DB4A68">
        <w:rPr>
          <w:rFonts w:cs="Times New Roman"/>
          <w:szCs w:val="24"/>
        </w:rPr>
        <w:t>9</w:t>
      </w:r>
      <w:proofErr w:type="gramEnd"/>
      <w:r w:rsidRPr="00DB4A68">
        <w:rPr>
          <w:rFonts w:cs="Times New Roman"/>
          <w:szCs w:val="24"/>
        </w:rPr>
        <w:t xml:space="preserve"> (consertos e manutenção de móveis, aparelhos, máquinas e utensílios de uso doméstico) e da tabela de despesas com veículos, os preços reduziram para os domicílios não pobres e aumentaram para os pobres. E para os restantes, houve aumento para ambos os grupos de domicílios, mas os domicílios pobres passaram por um aumento maior.</w:t>
      </w:r>
    </w:p>
    <w:p w:rsidR="000E2D46" w:rsidRDefault="000E2D46" w:rsidP="007B702C">
      <w:pPr>
        <w:ind w:firstLine="708"/>
        <w:contextualSpacing/>
        <w:jc w:val="both"/>
        <w:rPr>
          <w:rFonts w:cs="Times New Roman"/>
          <w:szCs w:val="24"/>
        </w:rPr>
      </w:pPr>
    </w:p>
    <w:tbl>
      <w:tblPr>
        <w:tblW w:w="7088" w:type="dxa"/>
        <w:tblCellMar>
          <w:left w:w="70" w:type="dxa"/>
          <w:right w:w="70" w:type="dxa"/>
        </w:tblCellMar>
        <w:tblLook w:val="04A0" w:firstRow="1" w:lastRow="0" w:firstColumn="1" w:lastColumn="0" w:noHBand="0" w:noVBand="1"/>
      </w:tblPr>
      <w:tblGrid>
        <w:gridCol w:w="1560"/>
        <w:gridCol w:w="800"/>
        <w:gridCol w:w="853"/>
        <w:gridCol w:w="1155"/>
        <w:gridCol w:w="964"/>
        <w:gridCol w:w="879"/>
        <w:gridCol w:w="1134"/>
      </w:tblGrid>
      <w:tr w:rsidR="00DF6FD2" w:rsidRPr="00DB4A68" w:rsidTr="002343D7">
        <w:trPr>
          <w:trHeight w:val="300"/>
        </w:trPr>
        <w:tc>
          <w:tcPr>
            <w:tcW w:w="7088" w:type="dxa"/>
            <w:gridSpan w:val="7"/>
            <w:tcBorders>
              <w:top w:val="nil"/>
              <w:left w:val="nil"/>
              <w:bottom w:val="nil"/>
              <w:right w:val="nil"/>
            </w:tcBorders>
            <w:shd w:val="clear" w:color="auto" w:fill="auto"/>
            <w:noWrap/>
            <w:vAlign w:val="bottom"/>
            <w:hideMark/>
          </w:tcPr>
          <w:p w:rsidR="00DF6FD2" w:rsidRPr="00DB4A68" w:rsidRDefault="00DF6FD2" w:rsidP="00DF6FD2">
            <w:pPr>
              <w:spacing w:after="0" w:line="240" w:lineRule="auto"/>
              <w:contextualSpacing/>
              <w:rPr>
                <w:rFonts w:eastAsia="Times New Roman" w:cs="Times New Roman"/>
                <w:szCs w:val="24"/>
                <w:lang w:eastAsia="pt-BR"/>
              </w:rPr>
            </w:pPr>
            <w:r w:rsidRPr="00DB4A68">
              <w:rPr>
                <w:rFonts w:eastAsia="Times New Roman" w:cs="Times New Roman"/>
                <w:b/>
                <w:bCs/>
                <w:szCs w:val="24"/>
                <w:lang w:eastAsia="pt-BR"/>
              </w:rPr>
              <w:t xml:space="preserve">Tabela </w:t>
            </w:r>
            <w:r>
              <w:rPr>
                <w:rFonts w:eastAsia="Times New Roman" w:cs="Times New Roman"/>
                <w:b/>
                <w:bCs/>
                <w:szCs w:val="24"/>
                <w:lang w:eastAsia="pt-BR"/>
              </w:rPr>
              <w:t>5</w:t>
            </w:r>
            <w:r w:rsidRPr="00DB4A68">
              <w:rPr>
                <w:rFonts w:eastAsia="Times New Roman" w:cs="Times New Roman"/>
                <w:b/>
                <w:bCs/>
                <w:szCs w:val="24"/>
                <w:lang w:eastAsia="pt-BR"/>
              </w:rPr>
              <w:t>.</w:t>
            </w:r>
            <w:r w:rsidRPr="00DB4A68">
              <w:rPr>
                <w:rFonts w:eastAsia="Times New Roman" w:cs="Times New Roman"/>
                <w:szCs w:val="24"/>
                <w:lang w:eastAsia="pt-BR"/>
              </w:rPr>
              <w:t xml:space="preserve"> Preços Relativos para gastos diretos - Estrato Capital</w:t>
            </w:r>
          </w:p>
        </w:tc>
      </w:tr>
      <w:tr w:rsidR="00DF6FD2" w:rsidRPr="00DB4A68" w:rsidTr="002343D7">
        <w:trPr>
          <w:trHeight w:val="300"/>
        </w:trPr>
        <w:tc>
          <w:tcPr>
            <w:tcW w:w="1560" w:type="dxa"/>
            <w:vMerge w:val="restart"/>
            <w:tcBorders>
              <w:top w:val="single" w:sz="4" w:space="0" w:color="auto"/>
              <w:left w:val="nil"/>
              <w:bottom w:val="single" w:sz="4" w:space="0" w:color="000000"/>
              <w:right w:val="nil"/>
            </w:tcBorders>
            <w:shd w:val="clear" w:color="auto" w:fill="auto"/>
            <w:vAlign w:val="center"/>
            <w:hideMark/>
          </w:tcPr>
          <w:p w:rsidR="00DF6FD2" w:rsidRPr="00DB4A68" w:rsidRDefault="00DF6FD2"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Item de despesa</w:t>
            </w:r>
          </w:p>
        </w:tc>
        <w:tc>
          <w:tcPr>
            <w:tcW w:w="2551" w:type="dxa"/>
            <w:gridSpan w:val="3"/>
            <w:tcBorders>
              <w:top w:val="single" w:sz="4" w:space="0" w:color="auto"/>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 xml:space="preserve">P. </w:t>
            </w:r>
            <w:proofErr w:type="gramStart"/>
            <w:r w:rsidRPr="00DB4A68">
              <w:rPr>
                <w:rFonts w:eastAsia="Times New Roman" w:cs="Times New Roman"/>
                <w:szCs w:val="24"/>
                <w:lang w:eastAsia="pt-BR"/>
              </w:rPr>
              <w:t>Relativo - Não pobres</w:t>
            </w:r>
            <w:proofErr w:type="gramEnd"/>
          </w:p>
        </w:tc>
        <w:tc>
          <w:tcPr>
            <w:tcW w:w="2977" w:type="dxa"/>
            <w:gridSpan w:val="3"/>
            <w:tcBorders>
              <w:top w:val="single" w:sz="4" w:space="0" w:color="auto"/>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 xml:space="preserve">P. </w:t>
            </w:r>
            <w:proofErr w:type="gramStart"/>
            <w:r w:rsidRPr="00DB4A68">
              <w:rPr>
                <w:rFonts w:eastAsia="Times New Roman" w:cs="Times New Roman"/>
                <w:szCs w:val="24"/>
                <w:lang w:eastAsia="pt-BR"/>
              </w:rPr>
              <w:t>Relativo - Pobres</w:t>
            </w:r>
            <w:proofErr w:type="gramEnd"/>
          </w:p>
        </w:tc>
      </w:tr>
      <w:tr w:rsidR="00DF6FD2" w:rsidRPr="00DB4A68" w:rsidTr="002343D7">
        <w:trPr>
          <w:trHeight w:val="300"/>
        </w:trPr>
        <w:tc>
          <w:tcPr>
            <w:tcW w:w="1560" w:type="dxa"/>
            <w:vMerge/>
            <w:tcBorders>
              <w:top w:val="single" w:sz="4" w:space="0" w:color="auto"/>
              <w:left w:val="nil"/>
              <w:bottom w:val="single" w:sz="4" w:space="0" w:color="000000"/>
              <w:right w:val="nil"/>
            </w:tcBorders>
            <w:vAlign w:val="center"/>
            <w:hideMark/>
          </w:tcPr>
          <w:p w:rsidR="00DF6FD2" w:rsidRPr="00DB4A68" w:rsidRDefault="00DF6FD2" w:rsidP="002343D7">
            <w:pPr>
              <w:spacing w:after="0" w:line="240" w:lineRule="auto"/>
              <w:contextualSpacing/>
              <w:rPr>
                <w:rFonts w:eastAsia="Times New Roman" w:cs="Times New Roman"/>
                <w:szCs w:val="24"/>
                <w:lang w:eastAsia="pt-BR"/>
              </w:rPr>
            </w:pPr>
          </w:p>
        </w:tc>
        <w:tc>
          <w:tcPr>
            <w:tcW w:w="543"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853"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155" w:type="dxa"/>
            <w:tcBorders>
              <w:top w:val="nil"/>
              <w:left w:val="nil"/>
              <w:bottom w:val="single" w:sz="4" w:space="0" w:color="auto"/>
              <w:right w:val="nil"/>
            </w:tcBorders>
            <w:shd w:val="clear" w:color="auto" w:fill="auto"/>
            <w:vAlign w:val="center"/>
            <w:hideMark/>
          </w:tcPr>
          <w:p w:rsidR="00DF6FD2" w:rsidRPr="00DB4A68" w:rsidRDefault="00DF6FD2"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964"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879"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134" w:type="dxa"/>
            <w:tcBorders>
              <w:top w:val="nil"/>
              <w:left w:val="nil"/>
              <w:bottom w:val="single" w:sz="4" w:space="0" w:color="auto"/>
              <w:right w:val="nil"/>
            </w:tcBorders>
            <w:shd w:val="clear" w:color="auto" w:fill="auto"/>
            <w:vAlign w:val="center"/>
            <w:hideMark/>
          </w:tcPr>
          <w:p w:rsidR="00DF6FD2" w:rsidRPr="00DB4A68" w:rsidRDefault="00DF6FD2"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r>
      <w:tr w:rsidR="00DF6FD2" w:rsidRPr="00DB4A68" w:rsidTr="002343D7">
        <w:trPr>
          <w:trHeight w:val="315"/>
        </w:trPr>
        <w:tc>
          <w:tcPr>
            <w:tcW w:w="1560"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90 dias</w:t>
            </w:r>
          </w:p>
        </w:tc>
        <w:tc>
          <w:tcPr>
            <w:tcW w:w="54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85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1155"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96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879"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r>
      <w:tr w:rsidR="00DF6FD2" w:rsidRPr="00DB4A68" w:rsidTr="002343D7">
        <w:trPr>
          <w:trHeight w:val="300"/>
        </w:trPr>
        <w:tc>
          <w:tcPr>
            <w:tcW w:w="1560" w:type="dxa"/>
            <w:tcBorders>
              <w:top w:val="nil"/>
              <w:left w:val="nil"/>
              <w:bottom w:val="nil"/>
              <w:right w:val="nil"/>
            </w:tcBorders>
            <w:shd w:val="clear" w:color="auto" w:fill="auto"/>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7</w:t>
            </w:r>
          </w:p>
        </w:tc>
        <w:tc>
          <w:tcPr>
            <w:tcW w:w="54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11.66</w:t>
            </w:r>
          </w:p>
        </w:tc>
        <w:tc>
          <w:tcPr>
            <w:tcW w:w="85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5.25</w:t>
            </w:r>
          </w:p>
        </w:tc>
        <w:tc>
          <w:tcPr>
            <w:tcW w:w="1155"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-55%</w:t>
            </w:r>
          </w:p>
        </w:tc>
        <w:tc>
          <w:tcPr>
            <w:tcW w:w="96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8.46</w:t>
            </w:r>
          </w:p>
        </w:tc>
        <w:tc>
          <w:tcPr>
            <w:tcW w:w="879"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5.96</w:t>
            </w:r>
          </w:p>
        </w:tc>
        <w:tc>
          <w:tcPr>
            <w:tcW w:w="113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-29%</w:t>
            </w:r>
          </w:p>
        </w:tc>
      </w:tr>
      <w:tr w:rsidR="00DF6FD2" w:rsidRPr="00DB4A68" w:rsidTr="002343D7">
        <w:trPr>
          <w:trHeight w:val="300"/>
        </w:trPr>
        <w:tc>
          <w:tcPr>
            <w:tcW w:w="1560" w:type="dxa"/>
            <w:tcBorders>
              <w:top w:val="nil"/>
              <w:left w:val="nil"/>
              <w:bottom w:val="nil"/>
              <w:right w:val="nil"/>
            </w:tcBorders>
            <w:shd w:val="clear" w:color="auto" w:fill="auto"/>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8</w:t>
            </w:r>
          </w:p>
        </w:tc>
        <w:tc>
          <w:tcPr>
            <w:tcW w:w="54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21.96</w:t>
            </w:r>
          </w:p>
        </w:tc>
        <w:tc>
          <w:tcPr>
            <w:tcW w:w="85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23.53</w:t>
            </w:r>
          </w:p>
        </w:tc>
        <w:tc>
          <w:tcPr>
            <w:tcW w:w="1155"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w:t>
            </w:r>
          </w:p>
        </w:tc>
        <w:tc>
          <w:tcPr>
            <w:tcW w:w="96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13.51</w:t>
            </w:r>
          </w:p>
        </w:tc>
        <w:tc>
          <w:tcPr>
            <w:tcW w:w="879"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19.25</w:t>
            </w:r>
          </w:p>
        </w:tc>
        <w:tc>
          <w:tcPr>
            <w:tcW w:w="113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43%</w:t>
            </w:r>
          </w:p>
        </w:tc>
      </w:tr>
      <w:tr w:rsidR="00DF6FD2" w:rsidRPr="00DB4A68" w:rsidTr="002343D7">
        <w:trPr>
          <w:trHeight w:val="300"/>
        </w:trPr>
        <w:tc>
          <w:tcPr>
            <w:tcW w:w="1560" w:type="dxa"/>
            <w:tcBorders>
              <w:top w:val="nil"/>
              <w:left w:val="nil"/>
              <w:bottom w:val="nil"/>
              <w:right w:val="nil"/>
            </w:tcBorders>
            <w:shd w:val="clear" w:color="auto" w:fill="auto"/>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9</w:t>
            </w:r>
          </w:p>
        </w:tc>
        <w:tc>
          <w:tcPr>
            <w:tcW w:w="54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10.04</w:t>
            </w:r>
          </w:p>
        </w:tc>
        <w:tc>
          <w:tcPr>
            <w:tcW w:w="85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6.56</w:t>
            </w:r>
          </w:p>
        </w:tc>
        <w:tc>
          <w:tcPr>
            <w:tcW w:w="1155"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-35%</w:t>
            </w:r>
          </w:p>
        </w:tc>
        <w:tc>
          <w:tcPr>
            <w:tcW w:w="96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6.91</w:t>
            </w:r>
          </w:p>
        </w:tc>
        <w:tc>
          <w:tcPr>
            <w:tcW w:w="879"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8.46</w:t>
            </w:r>
          </w:p>
        </w:tc>
        <w:tc>
          <w:tcPr>
            <w:tcW w:w="113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23%</w:t>
            </w:r>
          </w:p>
        </w:tc>
      </w:tr>
      <w:tr w:rsidR="00DF6FD2" w:rsidRPr="00DB4A68" w:rsidTr="002343D7">
        <w:trPr>
          <w:trHeight w:val="300"/>
        </w:trPr>
        <w:tc>
          <w:tcPr>
            <w:tcW w:w="1560"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12 meses</w:t>
            </w:r>
          </w:p>
        </w:tc>
        <w:tc>
          <w:tcPr>
            <w:tcW w:w="54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85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1155"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96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879"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r>
      <w:tr w:rsidR="00DF6FD2" w:rsidRPr="00DB4A68" w:rsidTr="002343D7">
        <w:trPr>
          <w:trHeight w:val="300"/>
        </w:trPr>
        <w:tc>
          <w:tcPr>
            <w:tcW w:w="1560" w:type="dxa"/>
            <w:tcBorders>
              <w:top w:val="nil"/>
              <w:left w:val="nil"/>
              <w:bottom w:val="nil"/>
              <w:right w:val="nil"/>
            </w:tcBorders>
            <w:shd w:val="clear" w:color="auto" w:fill="auto"/>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10</w:t>
            </w:r>
          </w:p>
        </w:tc>
        <w:tc>
          <w:tcPr>
            <w:tcW w:w="54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65.92</w:t>
            </w:r>
          </w:p>
        </w:tc>
        <w:tc>
          <w:tcPr>
            <w:tcW w:w="85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31.93</w:t>
            </w:r>
          </w:p>
        </w:tc>
        <w:tc>
          <w:tcPr>
            <w:tcW w:w="1155"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-52%</w:t>
            </w:r>
          </w:p>
        </w:tc>
        <w:tc>
          <w:tcPr>
            <w:tcW w:w="96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41.98</w:t>
            </w:r>
          </w:p>
        </w:tc>
        <w:tc>
          <w:tcPr>
            <w:tcW w:w="879"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29.75</w:t>
            </w:r>
          </w:p>
        </w:tc>
        <w:tc>
          <w:tcPr>
            <w:tcW w:w="113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-29%</w:t>
            </w:r>
          </w:p>
        </w:tc>
      </w:tr>
      <w:tr w:rsidR="00DF6FD2" w:rsidRPr="00DB4A68" w:rsidTr="002343D7">
        <w:trPr>
          <w:trHeight w:val="300"/>
        </w:trPr>
        <w:tc>
          <w:tcPr>
            <w:tcW w:w="1560"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Outras</w:t>
            </w:r>
          </w:p>
        </w:tc>
        <w:tc>
          <w:tcPr>
            <w:tcW w:w="54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85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1155"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96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879"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r>
      <w:tr w:rsidR="00DF6FD2" w:rsidRPr="00DB4A68" w:rsidTr="002343D7">
        <w:trPr>
          <w:trHeight w:val="300"/>
        </w:trPr>
        <w:tc>
          <w:tcPr>
            <w:tcW w:w="1560" w:type="dxa"/>
            <w:tcBorders>
              <w:top w:val="nil"/>
              <w:left w:val="nil"/>
              <w:bottom w:val="nil"/>
              <w:right w:val="nil"/>
            </w:tcBorders>
            <w:shd w:val="clear" w:color="auto" w:fill="auto"/>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16</w:t>
            </w:r>
          </w:p>
        </w:tc>
        <w:tc>
          <w:tcPr>
            <w:tcW w:w="54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1.86</w:t>
            </w:r>
          </w:p>
        </w:tc>
        <w:tc>
          <w:tcPr>
            <w:tcW w:w="853"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2.72</w:t>
            </w:r>
          </w:p>
        </w:tc>
        <w:tc>
          <w:tcPr>
            <w:tcW w:w="1155"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46%</w:t>
            </w:r>
          </w:p>
        </w:tc>
        <w:tc>
          <w:tcPr>
            <w:tcW w:w="96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0.73</w:t>
            </w:r>
          </w:p>
        </w:tc>
        <w:tc>
          <w:tcPr>
            <w:tcW w:w="879"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2.65</w:t>
            </w:r>
          </w:p>
        </w:tc>
        <w:tc>
          <w:tcPr>
            <w:tcW w:w="113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262%</w:t>
            </w:r>
          </w:p>
        </w:tc>
      </w:tr>
      <w:tr w:rsidR="00DF6FD2" w:rsidRPr="00DB4A68" w:rsidTr="002343D7">
        <w:trPr>
          <w:trHeight w:val="300"/>
        </w:trPr>
        <w:tc>
          <w:tcPr>
            <w:tcW w:w="1560"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Veículos</w:t>
            </w:r>
          </w:p>
        </w:tc>
        <w:tc>
          <w:tcPr>
            <w:tcW w:w="543"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247.33</w:t>
            </w:r>
          </w:p>
        </w:tc>
        <w:tc>
          <w:tcPr>
            <w:tcW w:w="853"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219.76</w:t>
            </w:r>
          </w:p>
        </w:tc>
        <w:tc>
          <w:tcPr>
            <w:tcW w:w="1155"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w:t>
            </w:r>
          </w:p>
        </w:tc>
        <w:tc>
          <w:tcPr>
            <w:tcW w:w="964"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30.89</w:t>
            </w:r>
          </w:p>
        </w:tc>
        <w:tc>
          <w:tcPr>
            <w:tcW w:w="879"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88.45</w:t>
            </w:r>
          </w:p>
        </w:tc>
        <w:tc>
          <w:tcPr>
            <w:tcW w:w="1134" w:type="dxa"/>
            <w:tcBorders>
              <w:top w:val="nil"/>
              <w:left w:val="nil"/>
              <w:bottom w:val="single" w:sz="4" w:space="0" w:color="auto"/>
              <w:right w:val="nil"/>
            </w:tcBorders>
            <w:shd w:val="clear" w:color="auto" w:fill="auto"/>
            <w:noWrap/>
            <w:vAlign w:val="bottom"/>
            <w:hideMark/>
          </w:tcPr>
          <w:p w:rsidR="00DF6FD2" w:rsidRPr="00DB4A68" w:rsidRDefault="00DF6FD2"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186%</w:t>
            </w:r>
          </w:p>
        </w:tc>
      </w:tr>
      <w:tr w:rsidR="00DF6FD2" w:rsidRPr="00DB4A68" w:rsidTr="002343D7">
        <w:trPr>
          <w:trHeight w:val="300"/>
        </w:trPr>
        <w:tc>
          <w:tcPr>
            <w:tcW w:w="5954" w:type="dxa"/>
            <w:gridSpan w:val="6"/>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p>
        </w:tc>
        <w:tc>
          <w:tcPr>
            <w:tcW w:w="1134" w:type="dxa"/>
            <w:tcBorders>
              <w:top w:val="nil"/>
              <w:left w:val="nil"/>
              <w:bottom w:val="nil"/>
              <w:right w:val="nil"/>
            </w:tcBorders>
            <w:shd w:val="clear" w:color="auto" w:fill="auto"/>
            <w:noWrap/>
            <w:vAlign w:val="bottom"/>
            <w:hideMark/>
          </w:tcPr>
          <w:p w:rsidR="00DF6FD2" w:rsidRPr="00DB4A68" w:rsidRDefault="00DF6FD2" w:rsidP="002343D7">
            <w:pPr>
              <w:spacing w:after="0" w:line="240" w:lineRule="auto"/>
              <w:contextualSpacing/>
              <w:rPr>
                <w:rFonts w:eastAsia="Times New Roman" w:cs="Times New Roman"/>
                <w:szCs w:val="24"/>
                <w:lang w:eastAsia="pt-BR"/>
              </w:rPr>
            </w:pPr>
          </w:p>
        </w:tc>
      </w:tr>
    </w:tbl>
    <w:p w:rsidR="00DF6FD2" w:rsidRPr="004550DC" w:rsidRDefault="00DF6FD2" w:rsidP="00DF6FD2">
      <w:pPr>
        <w:contextualSpacing/>
        <w:jc w:val="both"/>
        <w:rPr>
          <w:rFonts w:cs="Times New Roman"/>
          <w:sz w:val="10"/>
          <w:szCs w:val="24"/>
        </w:rPr>
      </w:pPr>
    </w:p>
    <w:p w:rsidR="00DF6FD2" w:rsidRDefault="00DF6FD2" w:rsidP="007B702C">
      <w:pPr>
        <w:ind w:firstLine="708"/>
        <w:contextualSpacing/>
        <w:jc w:val="both"/>
        <w:rPr>
          <w:rFonts w:cs="Times New Roman"/>
          <w:szCs w:val="24"/>
        </w:rPr>
      </w:pPr>
    </w:p>
    <w:p w:rsidR="000744EC" w:rsidRPr="004550DC" w:rsidRDefault="000744EC" w:rsidP="007B702C">
      <w:pPr>
        <w:contextualSpacing/>
        <w:jc w:val="both"/>
        <w:rPr>
          <w:rFonts w:cs="Times New Roman"/>
          <w:sz w:val="10"/>
          <w:szCs w:val="24"/>
        </w:rPr>
      </w:pPr>
    </w:p>
    <w:p w:rsidR="000744EC" w:rsidRDefault="000744EC" w:rsidP="007B702C">
      <w:pPr>
        <w:ind w:firstLine="708"/>
        <w:contextualSpacing/>
        <w:jc w:val="both"/>
        <w:rPr>
          <w:rFonts w:cs="Times New Roman"/>
          <w:szCs w:val="24"/>
        </w:rPr>
      </w:pPr>
      <w:r w:rsidRPr="00DB4A68">
        <w:rPr>
          <w:rFonts w:cs="Times New Roman"/>
          <w:szCs w:val="24"/>
        </w:rPr>
        <w:t xml:space="preserve">A próxima tabela (tabela </w:t>
      </w:r>
      <w:r w:rsidR="00DF6FD2">
        <w:rPr>
          <w:rFonts w:cs="Times New Roman"/>
          <w:szCs w:val="24"/>
        </w:rPr>
        <w:t>6</w:t>
      </w:r>
      <w:r w:rsidRPr="00DB4A68">
        <w:rPr>
          <w:rFonts w:cs="Times New Roman"/>
          <w:szCs w:val="24"/>
        </w:rPr>
        <w:t xml:space="preserve">) mostra os preços relativos calculados para os domicílios que realizaram despesas simultaneamente com alimentação e com os itens de despesas. Ou seja, por exemplo, na primeira linha de dados, 8,38 representa o preço relativo à alimentação pago em 2002 pelos domicílios pobres que realizaram despesas com alimentação e com itens do quadro </w:t>
      </w:r>
      <w:proofErr w:type="gramStart"/>
      <w:r w:rsidRPr="00DB4A68">
        <w:rPr>
          <w:rFonts w:cs="Times New Roman"/>
          <w:szCs w:val="24"/>
        </w:rPr>
        <w:t>7</w:t>
      </w:r>
      <w:proofErr w:type="gramEnd"/>
      <w:r w:rsidRPr="00DB4A68">
        <w:rPr>
          <w:rFonts w:cs="Times New Roman"/>
          <w:szCs w:val="24"/>
        </w:rPr>
        <w:t xml:space="preserve"> da tabela de despesas de 90 dias; 6,28 representa o mesmo preço, só que pago em 2009; e -25% representa a variação entre esses dois preços. </w:t>
      </w:r>
    </w:p>
    <w:p w:rsidR="002343D7" w:rsidRDefault="002343D7" w:rsidP="007B702C">
      <w:pPr>
        <w:ind w:firstLine="708"/>
        <w:contextualSpacing/>
        <w:jc w:val="both"/>
        <w:rPr>
          <w:rFonts w:cs="Times New Roman"/>
          <w:szCs w:val="24"/>
        </w:rPr>
      </w:pPr>
    </w:p>
    <w:tbl>
      <w:tblPr>
        <w:tblW w:w="7230" w:type="dxa"/>
        <w:tblInd w:w="70" w:type="dxa"/>
        <w:tblCellMar>
          <w:left w:w="70" w:type="dxa"/>
          <w:right w:w="70" w:type="dxa"/>
        </w:tblCellMar>
        <w:tblLook w:val="04A0" w:firstRow="1" w:lastRow="0" w:firstColumn="1" w:lastColumn="0" w:noHBand="0" w:noVBand="1"/>
      </w:tblPr>
      <w:tblGrid>
        <w:gridCol w:w="1603"/>
        <w:gridCol w:w="888"/>
        <w:gridCol w:w="887"/>
        <w:gridCol w:w="1017"/>
        <w:gridCol w:w="992"/>
        <w:gridCol w:w="680"/>
        <w:gridCol w:w="1278"/>
      </w:tblGrid>
      <w:tr w:rsidR="002343D7" w:rsidRPr="00DB4A68" w:rsidTr="002343D7">
        <w:trPr>
          <w:trHeight w:val="300"/>
        </w:trPr>
        <w:tc>
          <w:tcPr>
            <w:tcW w:w="7230" w:type="dxa"/>
            <w:gridSpan w:val="7"/>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b/>
                <w:bCs/>
                <w:szCs w:val="24"/>
                <w:lang w:eastAsia="pt-BR"/>
              </w:rPr>
              <w:t>Tab</w:t>
            </w:r>
            <w:r>
              <w:rPr>
                <w:rFonts w:eastAsia="Times New Roman" w:cs="Times New Roman"/>
                <w:b/>
                <w:bCs/>
                <w:szCs w:val="24"/>
                <w:lang w:eastAsia="pt-BR"/>
              </w:rPr>
              <w:t>ela 6</w:t>
            </w:r>
            <w:r w:rsidRPr="00DB4A68">
              <w:rPr>
                <w:rFonts w:eastAsia="Times New Roman" w:cs="Times New Roman"/>
                <w:b/>
                <w:bCs/>
                <w:szCs w:val="24"/>
                <w:lang w:eastAsia="pt-BR"/>
              </w:rPr>
              <w:t>.</w:t>
            </w:r>
            <w:r w:rsidRPr="00DB4A68">
              <w:rPr>
                <w:rFonts w:eastAsia="Times New Roman" w:cs="Times New Roman"/>
                <w:szCs w:val="24"/>
                <w:lang w:eastAsia="pt-BR"/>
              </w:rPr>
              <w:t xml:space="preserve"> Preços Relativos para os gastos simultâneos com alimentação - Estrato Capital</w:t>
            </w:r>
          </w:p>
        </w:tc>
      </w:tr>
      <w:tr w:rsidR="002343D7" w:rsidRPr="00DB4A68" w:rsidTr="002343D7">
        <w:trPr>
          <w:trHeight w:val="300"/>
        </w:trPr>
        <w:tc>
          <w:tcPr>
            <w:tcW w:w="1603" w:type="dxa"/>
            <w:vMerge w:val="restart"/>
            <w:tcBorders>
              <w:top w:val="single" w:sz="4" w:space="0" w:color="auto"/>
              <w:left w:val="nil"/>
              <w:bottom w:val="single" w:sz="4" w:space="0" w:color="000000"/>
              <w:right w:val="nil"/>
            </w:tcBorders>
            <w:shd w:val="clear" w:color="auto" w:fill="auto"/>
            <w:vAlign w:val="center"/>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Item de despesa</w:t>
            </w:r>
          </w:p>
        </w:tc>
        <w:tc>
          <w:tcPr>
            <w:tcW w:w="2792" w:type="dxa"/>
            <w:gridSpan w:val="3"/>
            <w:tcBorders>
              <w:top w:val="single" w:sz="4" w:space="0" w:color="auto"/>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 xml:space="preserve">P. </w:t>
            </w:r>
            <w:proofErr w:type="gramStart"/>
            <w:r w:rsidRPr="00DB4A68">
              <w:rPr>
                <w:rFonts w:eastAsia="Times New Roman" w:cs="Times New Roman"/>
                <w:szCs w:val="24"/>
                <w:lang w:eastAsia="pt-BR"/>
              </w:rPr>
              <w:t>Relativo - Não Pobres</w:t>
            </w:r>
            <w:proofErr w:type="gramEnd"/>
          </w:p>
        </w:tc>
        <w:tc>
          <w:tcPr>
            <w:tcW w:w="2835" w:type="dxa"/>
            <w:gridSpan w:val="3"/>
            <w:tcBorders>
              <w:top w:val="single" w:sz="4" w:space="0" w:color="auto"/>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 xml:space="preserve">P. </w:t>
            </w:r>
            <w:proofErr w:type="gramStart"/>
            <w:r w:rsidRPr="00DB4A68">
              <w:rPr>
                <w:rFonts w:eastAsia="Times New Roman" w:cs="Times New Roman"/>
                <w:szCs w:val="24"/>
                <w:lang w:eastAsia="pt-BR"/>
              </w:rPr>
              <w:t>Relativo - Pobres</w:t>
            </w:r>
            <w:proofErr w:type="gramEnd"/>
          </w:p>
        </w:tc>
      </w:tr>
      <w:tr w:rsidR="002343D7" w:rsidRPr="00DB4A68" w:rsidTr="002343D7">
        <w:trPr>
          <w:trHeight w:val="300"/>
        </w:trPr>
        <w:tc>
          <w:tcPr>
            <w:tcW w:w="1603" w:type="dxa"/>
            <w:vMerge/>
            <w:tcBorders>
              <w:top w:val="single" w:sz="4" w:space="0" w:color="auto"/>
              <w:left w:val="nil"/>
              <w:bottom w:val="single" w:sz="4" w:space="0" w:color="000000"/>
              <w:right w:val="nil"/>
            </w:tcBorders>
            <w:vAlign w:val="center"/>
            <w:hideMark/>
          </w:tcPr>
          <w:p w:rsidR="002343D7" w:rsidRPr="00DB4A68" w:rsidRDefault="002343D7" w:rsidP="002343D7">
            <w:pPr>
              <w:spacing w:after="0" w:line="240" w:lineRule="auto"/>
              <w:contextualSpacing/>
              <w:rPr>
                <w:rFonts w:eastAsia="Times New Roman" w:cs="Times New Roman"/>
                <w:szCs w:val="24"/>
                <w:lang w:eastAsia="pt-BR"/>
              </w:rPr>
            </w:pPr>
          </w:p>
        </w:tc>
        <w:tc>
          <w:tcPr>
            <w:tcW w:w="888"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887"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017"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992"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565"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278"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Variação</w:t>
            </w:r>
          </w:p>
        </w:tc>
      </w:tr>
      <w:tr w:rsidR="002343D7" w:rsidRPr="00DB4A68" w:rsidTr="002343D7">
        <w:trPr>
          <w:trHeight w:val="315"/>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90 dias</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8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01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565"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7</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11.41</w:t>
            </w:r>
          </w:p>
        </w:tc>
        <w:tc>
          <w:tcPr>
            <w:tcW w:w="88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6.60</w:t>
            </w:r>
          </w:p>
        </w:tc>
        <w:tc>
          <w:tcPr>
            <w:tcW w:w="101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-42%</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8.38</w:t>
            </w:r>
          </w:p>
        </w:tc>
        <w:tc>
          <w:tcPr>
            <w:tcW w:w="565"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6.28</w:t>
            </w:r>
          </w:p>
        </w:tc>
        <w:tc>
          <w:tcPr>
            <w:tcW w:w="127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-25%</w:t>
            </w: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8</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20.01</w:t>
            </w:r>
          </w:p>
        </w:tc>
        <w:tc>
          <w:tcPr>
            <w:tcW w:w="88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25.03</w:t>
            </w:r>
          </w:p>
        </w:tc>
        <w:tc>
          <w:tcPr>
            <w:tcW w:w="101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25%</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15.16</w:t>
            </w:r>
          </w:p>
        </w:tc>
        <w:tc>
          <w:tcPr>
            <w:tcW w:w="565"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18.70</w:t>
            </w:r>
          </w:p>
        </w:tc>
        <w:tc>
          <w:tcPr>
            <w:tcW w:w="127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23%</w:t>
            </w: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9</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10.57</w:t>
            </w:r>
          </w:p>
        </w:tc>
        <w:tc>
          <w:tcPr>
            <w:tcW w:w="88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5.60</w:t>
            </w:r>
          </w:p>
        </w:tc>
        <w:tc>
          <w:tcPr>
            <w:tcW w:w="101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-47%</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8.11</w:t>
            </w:r>
          </w:p>
        </w:tc>
        <w:tc>
          <w:tcPr>
            <w:tcW w:w="565"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7.75</w:t>
            </w:r>
          </w:p>
        </w:tc>
        <w:tc>
          <w:tcPr>
            <w:tcW w:w="127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w:t>
            </w: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12 meses</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8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01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565"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10</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64.25</w:t>
            </w:r>
          </w:p>
        </w:tc>
        <w:tc>
          <w:tcPr>
            <w:tcW w:w="88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31.16</w:t>
            </w:r>
          </w:p>
        </w:tc>
        <w:tc>
          <w:tcPr>
            <w:tcW w:w="101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-51%</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42.79</w:t>
            </w:r>
          </w:p>
        </w:tc>
        <w:tc>
          <w:tcPr>
            <w:tcW w:w="565"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30.78</w:t>
            </w:r>
          </w:p>
        </w:tc>
        <w:tc>
          <w:tcPr>
            <w:tcW w:w="127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-28%</w:t>
            </w: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lastRenderedPageBreak/>
              <w:t>Outras</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8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01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565"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16</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1.90</w:t>
            </w:r>
          </w:p>
        </w:tc>
        <w:tc>
          <w:tcPr>
            <w:tcW w:w="88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2.84</w:t>
            </w:r>
          </w:p>
        </w:tc>
        <w:tc>
          <w:tcPr>
            <w:tcW w:w="101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49%</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0.64</w:t>
            </w:r>
          </w:p>
        </w:tc>
        <w:tc>
          <w:tcPr>
            <w:tcW w:w="565"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2.01</w:t>
            </w:r>
          </w:p>
        </w:tc>
        <w:tc>
          <w:tcPr>
            <w:tcW w:w="127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216%</w:t>
            </w:r>
          </w:p>
        </w:tc>
      </w:tr>
      <w:tr w:rsidR="002343D7" w:rsidRPr="00DB4A68" w:rsidTr="002343D7">
        <w:trPr>
          <w:trHeight w:val="300"/>
        </w:trPr>
        <w:tc>
          <w:tcPr>
            <w:tcW w:w="1603"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Veículos</w:t>
            </w:r>
          </w:p>
        </w:tc>
        <w:tc>
          <w:tcPr>
            <w:tcW w:w="888"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297.10</w:t>
            </w:r>
          </w:p>
        </w:tc>
        <w:tc>
          <w:tcPr>
            <w:tcW w:w="887"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294.65</w:t>
            </w:r>
          </w:p>
        </w:tc>
        <w:tc>
          <w:tcPr>
            <w:tcW w:w="1017"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w:t>
            </w:r>
          </w:p>
        </w:tc>
        <w:tc>
          <w:tcPr>
            <w:tcW w:w="992"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41.89</w:t>
            </w:r>
          </w:p>
        </w:tc>
        <w:tc>
          <w:tcPr>
            <w:tcW w:w="565"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61.27</w:t>
            </w:r>
          </w:p>
        </w:tc>
        <w:tc>
          <w:tcPr>
            <w:tcW w:w="1278"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46%</w:t>
            </w:r>
          </w:p>
        </w:tc>
      </w:tr>
      <w:tr w:rsidR="002343D7" w:rsidRPr="00DB4A68" w:rsidTr="002343D7">
        <w:trPr>
          <w:trHeight w:val="300"/>
        </w:trPr>
        <w:tc>
          <w:tcPr>
            <w:tcW w:w="5387" w:type="dxa"/>
            <w:gridSpan w:val="5"/>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p>
        </w:tc>
        <w:tc>
          <w:tcPr>
            <w:tcW w:w="565"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bl>
    <w:p w:rsidR="002343D7" w:rsidRDefault="002343D7" w:rsidP="002343D7">
      <w:pPr>
        <w:ind w:firstLine="708"/>
        <w:contextualSpacing/>
        <w:jc w:val="both"/>
        <w:rPr>
          <w:rFonts w:cs="Times New Roman"/>
          <w:szCs w:val="24"/>
        </w:rPr>
      </w:pPr>
    </w:p>
    <w:p w:rsidR="000744EC" w:rsidRDefault="000744EC" w:rsidP="002343D7">
      <w:pPr>
        <w:contextualSpacing/>
        <w:jc w:val="both"/>
        <w:rPr>
          <w:rFonts w:cs="Times New Roman"/>
          <w:szCs w:val="24"/>
        </w:rPr>
      </w:pPr>
    </w:p>
    <w:p w:rsidR="000744EC" w:rsidRPr="00DB4A68" w:rsidRDefault="000744EC" w:rsidP="007B702C">
      <w:pPr>
        <w:ind w:firstLine="708"/>
        <w:contextualSpacing/>
        <w:jc w:val="both"/>
        <w:rPr>
          <w:rFonts w:cs="Times New Roman"/>
          <w:szCs w:val="24"/>
        </w:rPr>
      </w:pPr>
      <w:r w:rsidRPr="00DB4A68">
        <w:rPr>
          <w:rFonts w:cs="Times New Roman"/>
          <w:szCs w:val="24"/>
        </w:rPr>
        <w:t xml:space="preserve">Nessa segunda etapa da análise, percebe-se que, para o quadro </w:t>
      </w:r>
      <w:proofErr w:type="gramStart"/>
      <w:r w:rsidRPr="00DB4A68">
        <w:rPr>
          <w:rFonts w:cs="Times New Roman"/>
          <w:szCs w:val="24"/>
        </w:rPr>
        <w:t>7</w:t>
      </w:r>
      <w:proofErr w:type="gramEnd"/>
      <w:r w:rsidRPr="00DB4A68">
        <w:rPr>
          <w:rFonts w:cs="Times New Roman"/>
          <w:szCs w:val="24"/>
        </w:rPr>
        <w:t xml:space="preserve"> (gastos com aquisição de combustíveis domésticos e outros do domicílio principal) os preços relativos a alimentação reduziram para ambos os grupos de domicílios, porém ficou mais barato para os domicílios não pobres, sendo uma situação mais prejudicial para os domicílios pobres. Mesmo ocorreu para os quadro </w:t>
      </w:r>
      <w:proofErr w:type="gramStart"/>
      <w:r w:rsidRPr="00DB4A68">
        <w:rPr>
          <w:rFonts w:cs="Times New Roman"/>
          <w:szCs w:val="24"/>
        </w:rPr>
        <w:t>9</w:t>
      </w:r>
      <w:proofErr w:type="gramEnd"/>
      <w:r w:rsidRPr="00DB4A68">
        <w:rPr>
          <w:rFonts w:cs="Times New Roman"/>
          <w:szCs w:val="24"/>
        </w:rPr>
        <w:t xml:space="preserve"> e 10, que representam consertos e manutenção de móveis, aparelhos, máquinas e utensílios de uso doméstico e os gastos com aluguel, impostos e outras taxas do domicílio principal. O quadro 16 (aquisição de ferramentas, animais domésticos, equipamentos musicais e de acampamento) apresentou elevação de preços para ambos os grupos de domicílios, mas em maior percentual para os pobres. E as despesas com veículos ficaram mais caras 46% para os pobres, e reduziram em 1% para </w:t>
      </w:r>
      <w:proofErr w:type="gramStart"/>
      <w:r w:rsidRPr="00DB4A68">
        <w:rPr>
          <w:rFonts w:cs="Times New Roman"/>
          <w:szCs w:val="24"/>
        </w:rPr>
        <w:t>os não</w:t>
      </w:r>
      <w:proofErr w:type="gramEnd"/>
      <w:r w:rsidRPr="00DB4A68">
        <w:rPr>
          <w:rFonts w:cs="Times New Roman"/>
          <w:szCs w:val="24"/>
        </w:rPr>
        <w:t xml:space="preserve"> pobres. </w:t>
      </w:r>
    </w:p>
    <w:p w:rsidR="000744EC" w:rsidRPr="00DB4A68" w:rsidRDefault="000744EC" w:rsidP="007B702C">
      <w:pPr>
        <w:ind w:firstLine="708"/>
        <w:contextualSpacing/>
        <w:jc w:val="both"/>
        <w:rPr>
          <w:rFonts w:cs="Times New Roman"/>
          <w:szCs w:val="24"/>
        </w:rPr>
      </w:pPr>
      <w:r w:rsidRPr="00DB4A68">
        <w:rPr>
          <w:rFonts w:cs="Times New Roman"/>
          <w:szCs w:val="24"/>
        </w:rPr>
        <w:t xml:space="preserve">Assim, quando esses resultados são comparados com a tabela </w:t>
      </w:r>
      <w:r w:rsidR="002343D7">
        <w:rPr>
          <w:rFonts w:cs="Times New Roman"/>
          <w:szCs w:val="24"/>
        </w:rPr>
        <w:t>5</w:t>
      </w:r>
      <w:r w:rsidRPr="00DB4A68">
        <w:rPr>
          <w:rFonts w:cs="Times New Roman"/>
          <w:szCs w:val="24"/>
        </w:rPr>
        <w:t xml:space="preserve">, somente não se confirma o quadro </w:t>
      </w:r>
      <w:proofErr w:type="gramStart"/>
      <w:r w:rsidRPr="00DB4A68">
        <w:rPr>
          <w:rFonts w:cs="Times New Roman"/>
          <w:szCs w:val="24"/>
        </w:rPr>
        <w:t>8</w:t>
      </w:r>
      <w:proofErr w:type="gramEnd"/>
      <w:r w:rsidRPr="00DB4A68">
        <w:rPr>
          <w:rFonts w:cs="Times New Roman"/>
          <w:szCs w:val="24"/>
        </w:rPr>
        <w:t>, despesas com conservação, manutenção e pequenos reparos com habitação, jazigo e jardinagem, como sendo indicador de multa, mas os restantes, de acordo com as duas fases do teste, indicam fortemente que os domicílios pobres sofrem com a atuação da multa da pobreza nesses tipos de gastos.</w:t>
      </w:r>
    </w:p>
    <w:p w:rsidR="000E2D46" w:rsidRDefault="000E2D46" w:rsidP="007B702C">
      <w:pPr>
        <w:contextualSpacing/>
        <w:jc w:val="both"/>
        <w:rPr>
          <w:rFonts w:cs="Times New Roman"/>
          <w:szCs w:val="24"/>
        </w:rPr>
      </w:pPr>
    </w:p>
    <w:p w:rsidR="000744EC" w:rsidRPr="002B0134" w:rsidRDefault="000744EC" w:rsidP="000E2D46">
      <w:pPr>
        <w:pStyle w:val="PargrafodaLista"/>
        <w:numPr>
          <w:ilvl w:val="1"/>
          <w:numId w:val="1"/>
        </w:numPr>
        <w:jc w:val="both"/>
        <w:rPr>
          <w:rFonts w:cs="Times New Roman"/>
          <w:b/>
          <w:caps/>
          <w:szCs w:val="24"/>
        </w:rPr>
      </w:pPr>
      <w:r w:rsidRPr="002B0134">
        <w:rPr>
          <w:rFonts w:cs="Times New Roman"/>
          <w:b/>
          <w:caps/>
          <w:szCs w:val="24"/>
        </w:rPr>
        <w:t>Estrato Rural</w:t>
      </w:r>
    </w:p>
    <w:p w:rsidR="000744EC" w:rsidRDefault="000744EC" w:rsidP="007B702C">
      <w:pPr>
        <w:ind w:firstLine="708"/>
        <w:contextualSpacing/>
        <w:jc w:val="both"/>
        <w:rPr>
          <w:rFonts w:cs="Times New Roman"/>
          <w:szCs w:val="24"/>
        </w:rPr>
      </w:pPr>
    </w:p>
    <w:p w:rsidR="000744EC" w:rsidRDefault="000744EC" w:rsidP="007B702C">
      <w:pPr>
        <w:ind w:firstLine="708"/>
        <w:contextualSpacing/>
        <w:jc w:val="both"/>
        <w:rPr>
          <w:rFonts w:cs="Times New Roman"/>
          <w:szCs w:val="24"/>
        </w:rPr>
      </w:pPr>
      <w:r w:rsidRPr="00DB4A68">
        <w:rPr>
          <w:rFonts w:cs="Times New Roman"/>
          <w:szCs w:val="24"/>
        </w:rPr>
        <w:t xml:space="preserve">Conforme tabela </w:t>
      </w:r>
      <w:r w:rsidR="002343D7">
        <w:rPr>
          <w:rFonts w:cs="Times New Roman"/>
          <w:szCs w:val="24"/>
        </w:rPr>
        <w:t>7</w:t>
      </w:r>
      <w:r w:rsidRPr="00DB4A68">
        <w:rPr>
          <w:rFonts w:cs="Times New Roman"/>
          <w:szCs w:val="24"/>
        </w:rPr>
        <w:t xml:space="preserve">, entre todos os itens de despesas selecionados como tendo variado de maneira desfavorável aos pobres, somente um não indicou aumento de preço. Esse foi o quadro 42, que são as despesas com serviços de saúde que apresentou redução de 85% nos preços relativos, mas não reduziu mais do que os preços relativos dos domicílios não pobres (95%). Todos os dados relacionados </w:t>
      </w:r>
      <w:proofErr w:type="gramStart"/>
      <w:r w:rsidRPr="00DB4A68">
        <w:rPr>
          <w:rFonts w:cs="Times New Roman"/>
          <w:szCs w:val="24"/>
        </w:rPr>
        <w:t>a</w:t>
      </w:r>
      <w:proofErr w:type="gramEnd"/>
      <w:r w:rsidRPr="00DB4A68">
        <w:rPr>
          <w:rFonts w:cs="Times New Roman"/>
          <w:szCs w:val="24"/>
        </w:rPr>
        <w:t xml:space="preserve"> saúde coletados indicaram redução de preços pagos, o que tem relação com o texto de Diniz </w:t>
      </w:r>
      <w:r w:rsidRPr="00B74069">
        <w:rPr>
          <w:rFonts w:cs="Times New Roman"/>
          <w:i/>
          <w:szCs w:val="24"/>
        </w:rPr>
        <w:t>et al</w:t>
      </w:r>
      <w:r>
        <w:rPr>
          <w:rFonts w:cs="Times New Roman"/>
          <w:szCs w:val="24"/>
        </w:rPr>
        <w:t xml:space="preserve"> (2007)</w:t>
      </w:r>
      <w:r w:rsidRPr="00DB4A68">
        <w:rPr>
          <w:rFonts w:cs="Times New Roman"/>
          <w:szCs w:val="24"/>
        </w:rPr>
        <w:t xml:space="preserve">, que fala sobre a influência da implantação do SUS sobre os gastos das famílias com saúde no Brasil. </w:t>
      </w:r>
    </w:p>
    <w:p w:rsidR="000E2D46" w:rsidRDefault="000E2D46" w:rsidP="007B702C">
      <w:pPr>
        <w:ind w:firstLine="708"/>
        <w:contextualSpacing/>
        <w:jc w:val="both"/>
        <w:rPr>
          <w:rFonts w:cs="Times New Roman"/>
          <w:szCs w:val="24"/>
        </w:rPr>
      </w:pPr>
    </w:p>
    <w:tbl>
      <w:tblPr>
        <w:tblW w:w="7655" w:type="dxa"/>
        <w:tblInd w:w="70" w:type="dxa"/>
        <w:tblCellMar>
          <w:left w:w="70" w:type="dxa"/>
          <w:right w:w="70" w:type="dxa"/>
        </w:tblCellMar>
        <w:tblLook w:val="04A0" w:firstRow="1" w:lastRow="0" w:firstColumn="1" w:lastColumn="0" w:noHBand="0" w:noVBand="1"/>
      </w:tblPr>
      <w:tblGrid>
        <w:gridCol w:w="1418"/>
        <w:gridCol w:w="850"/>
        <w:gridCol w:w="993"/>
        <w:gridCol w:w="1134"/>
        <w:gridCol w:w="992"/>
        <w:gridCol w:w="709"/>
        <w:gridCol w:w="283"/>
        <w:gridCol w:w="1276"/>
      </w:tblGrid>
      <w:tr w:rsidR="002343D7" w:rsidRPr="00DB4A68" w:rsidTr="002343D7">
        <w:trPr>
          <w:trHeight w:val="300"/>
        </w:trPr>
        <w:tc>
          <w:tcPr>
            <w:tcW w:w="6096" w:type="dxa"/>
            <w:gridSpan w:val="6"/>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b/>
                <w:bCs/>
                <w:szCs w:val="24"/>
                <w:lang w:eastAsia="pt-BR"/>
              </w:rPr>
              <w:lastRenderedPageBreak/>
              <w:t xml:space="preserve">Tabela </w:t>
            </w:r>
            <w:r>
              <w:rPr>
                <w:rFonts w:eastAsia="Times New Roman" w:cs="Times New Roman"/>
                <w:b/>
                <w:bCs/>
                <w:szCs w:val="24"/>
                <w:lang w:eastAsia="pt-BR"/>
              </w:rPr>
              <w:t>7</w:t>
            </w:r>
            <w:r w:rsidRPr="00DB4A68">
              <w:rPr>
                <w:rFonts w:eastAsia="Times New Roman" w:cs="Times New Roman"/>
                <w:b/>
                <w:bCs/>
                <w:szCs w:val="24"/>
                <w:lang w:eastAsia="pt-BR"/>
              </w:rPr>
              <w:t>.</w:t>
            </w:r>
            <w:r w:rsidRPr="00DB4A68">
              <w:rPr>
                <w:rFonts w:eastAsia="Times New Roman" w:cs="Times New Roman"/>
                <w:szCs w:val="24"/>
                <w:lang w:eastAsia="pt-BR"/>
              </w:rPr>
              <w:t xml:space="preserve"> Preços Relativos para gastos diretos - Estrato Rural</w:t>
            </w:r>
          </w:p>
        </w:tc>
        <w:tc>
          <w:tcPr>
            <w:tcW w:w="1559" w:type="dxa"/>
            <w:gridSpan w:val="2"/>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259"/>
        </w:trPr>
        <w:tc>
          <w:tcPr>
            <w:tcW w:w="1418" w:type="dxa"/>
            <w:vMerge w:val="restart"/>
            <w:tcBorders>
              <w:top w:val="single" w:sz="4" w:space="0" w:color="auto"/>
              <w:left w:val="nil"/>
              <w:bottom w:val="single" w:sz="4" w:space="0" w:color="000000"/>
              <w:right w:val="nil"/>
            </w:tcBorders>
            <w:shd w:val="clear" w:color="auto" w:fill="auto"/>
            <w:vAlign w:val="center"/>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Item de despesa</w:t>
            </w:r>
          </w:p>
        </w:tc>
        <w:tc>
          <w:tcPr>
            <w:tcW w:w="2977" w:type="dxa"/>
            <w:gridSpan w:val="3"/>
            <w:tcBorders>
              <w:top w:val="single" w:sz="4" w:space="0" w:color="auto"/>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 xml:space="preserve">P. </w:t>
            </w:r>
            <w:proofErr w:type="gramStart"/>
            <w:r w:rsidRPr="00DB4A68">
              <w:rPr>
                <w:rFonts w:eastAsia="Times New Roman" w:cs="Times New Roman"/>
                <w:szCs w:val="24"/>
                <w:lang w:eastAsia="pt-BR"/>
              </w:rPr>
              <w:t>Relativo - Não pobres</w:t>
            </w:r>
            <w:proofErr w:type="gramEnd"/>
          </w:p>
        </w:tc>
        <w:tc>
          <w:tcPr>
            <w:tcW w:w="3260" w:type="dxa"/>
            <w:gridSpan w:val="4"/>
            <w:tcBorders>
              <w:top w:val="single" w:sz="4" w:space="0" w:color="auto"/>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 xml:space="preserve">P. </w:t>
            </w:r>
            <w:proofErr w:type="gramStart"/>
            <w:r w:rsidRPr="00DB4A68">
              <w:rPr>
                <w:rFonts w:eastAsia="Times New Roman" w:cs="Times New Roman"/>
                <w:szCs w:val="24"/>
                <w:lang w:eastAsia="pt-BR"/>
              </w:rPr>
              <w:t>Relativo - Pobres</w:t>
            </w:r>
            <w:proofErr w:type="gramEnd"/>
          </w:p>
        </w:tc>
      </w:tr>
      <w:tr w:rsidR="002343D7" w:rsidRPr="00DB4A68" w:rsidTr="002343D7">
        <w:trPr>
          <w:trHeight w:val="263"/>
        </w:trPr>
        <w:tc>
          <w:tcPr>
            <w:tcW w:w="1418" w:type="dxa"/>
            <w:vMerge/>
            <w:tcBorders>
              <w:top w:val="single" w:sz="4" w:space="0" w:color="auto"/>
              <w:left w:val="nil"/>
              <w:bottom w:val="single" w:sz="4" w:space="0" w:color="000000"/>
              <w:right w:val="nil"/>
            </w:tcBorders>
            <w:vAlign w:val="center"/>
            <w:hideMark/>
          </w:tcPr>
          <w:p w:rsidR="002343D7" w:rsidRPr="00DB4A68" w:rsidRDefault="002343D7" w:rsidP="002343D7">
            <w:pPr>
              <w:spacing w:after="0" w:line="240" w:lineRule="auto"/>
              <w:contextualSpacing/>
              <w:rPr>
                <w:rFonts w:eastAsia="Times New Roman" w:cs="Times New Roman"/>
                <w:szCs w:val="24"/>
                <w:lang w:eastAsia="pt-BR"/>
              </w:rPr>
            </w:pPr>
          </w:p>
        </w:tc>
        <w:tc>
          <w:tcPr>
            <w:tcW w:w="850"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993"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134" w:type="dxa"/>
            <w:tcBorders>
              <w:top w:val="nil"/>
              <w:left w:val="nil"/>
              <w:bottom w:val="single" w:sz="4" w:space="0" w:color="auto"/>
              <w:right w:val="nil"/>
            </w:tcBorders>
            <w:shd w:val="clear" w:color="auto" w:fill="auto"/>
            <w:vAlign w:val="center"/>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992"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992" w:type="dxa"/>
            <w:gridSpan w:val="2"/>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276" w:type="dxa"/>
            <w:tcBorders>
              <w:top w:val="nil"/>
              <w:left w:val="nil"/>
              <w:bottom w:val="single" w:sz="4" w:space="0" w:color="auto"/>
              <w:right w:val="nil"/>
            </w:tcBorders>
            <w:shd w:val="clear" w:color="auto" w:fill="auto"/>
            <w:vAlign w:val="center"/>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r>
      <w:tr w:rsidR="002343D7" w:rsidRPr="00DB4A68" w:rsidTr="002343D7">
        <w:trPr>
          <w:trHeight w:val="300"/>
        </w:trPr>
        <w:tc>
          <w:tcPr>
            <w:tcW w:w="141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90 dias</w:t>
            </w:r>
          </w:p>
        </w:tc>
        <w:tc>
          <w:tcPr>
            <w:tcW w:w="85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gridSpan w:val="2"/>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41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7</w:t>
            </w:r>
          </w:p>
        </w:tc>
        <w:tc>
          <w:tcPr>
            <w:tcW w:w="85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8.39</w:t>
            </w:r>
          </w:p>
        </w:tc>
        <w:tc>
          <w:tcPr>
            <w:tcW w:w="99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5.62</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-33%</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5.41</w:t>
            </w:r>
          </w:p>
        </w:tc>
        <w:tc>
          <w:tcPr>
            <w:tcW w:w="992" w:type="dxa"/>
            <w:gridSpan w:val="2"/>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7.08</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31%</w:t>
            </w:r>
          </w:p>
        </w:tc>
      </w:tr>
      <w:tr w:rsidR="002343D7" w:rsidRPr="00DB4A68" w:rsidTr="002343D7">
        <w:trPr>
          <w:trHeight w:val="300"/>
        </w:trPr>
        <w:tc>
          <w:tcPr>
            <w:tcW w:w="141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8</w:t>
            </w:r>
          </w:p>
        </w:tc>
        <w:tc>
          <w:tcPr>
            <w:tcW w:w="85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9.80</w:t>
            </w:r>
          </w:p>
        </w:tc>
        <w:tc>
          <w:tcPr>
            <w:tcW w:w="99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12.00</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4.49</w:t>
            </w:r>
          </w:p>
        </w:tc>
        <w:tc>
          <w:tcPr>
            <w:tcW w:w="992" w:type="dxa"/>
            <w:gridSpan w:val="2"/>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8.08</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80%</w:t>
            </w:r>
          </w:p>
        </w:tc>
      </w:tr>
      <w:tr w:rsidR="002343D7" w:rsidRPr="00DB4A68" w:rsidTr="002343D7">
        <w:trPr>
          <w:trHeight w:val="300"/>
        </w:trPr>
        <w:tc>
          <w:tcPr>
            <w:tcW w:w="141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Outras</w:t>
            </w:r>
          </w:p>
        </w:tc>
        <w:tc>
          <w:tcPr>
            <w:tcW w:w="85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gridSpan w:val="2"/>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41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15</w:t>
            </w:r>
          </w:p>
        </w:tc>
        <w:tc>
          <w:tcPr>
            <w:tcW w:w="85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9.11</w:t>
            </w:r>
          </w:p>
        </w:tc>
        <w:tc>
          <w:tcPr>
            <w:tcW w:w="99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7.50</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-18%</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2.98</w:t>
            </w:r>
          </w:p>
        </w:tc>
        <w:tc>
          <w:tcPr>
            <w:tcW w:w="992" w:type="dxa"/>
            <w:gridSpan w:val="2"/>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8.87</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197%</w:t>
            </w:r>
          </w:p>
        </w:tc>
      </w:tr>
      <w:tr w:rsidR="002343D7" w:rsidRPr="00DB4A68" w:rsidTr="002343D7">
        <w:trPr>
          <w:trHeight w:val="300"/>
        </w:trPr>
        <w:tc>
          <w:tcPr>
            <w:tcW w:w="141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16</w:t>
            </w:r>
          </w:p>
        </w:tc>
        <w:tc>
          <w:tcPr>
            <w:tcW w:w="85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1.06</w:t>
            </w:r>
          </w:p>
        </w:tc>
        <w:tc>
          <w:tcPr>
            <w:tcW w:w="99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0.87</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-18%</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0.84</w:t>
            </w:r>
          </w:p>
        </w:tc>
        <w:tc>
          <w:tcPr>
            <w:tcW w:w="992" w:type="dxa"/>
            <w:gridSpan w:val="2"/>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1.20</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43%</w:t>
            </w:r>
          </w:p>
        </w:tc>
      </w:tr>
      <w:tr w:rsidR="002343D7" w:rsidRPr="00DB4A68" w:rsidTr="002343D7">
        <w:trPr>
          <w:trHeight w:val="300"/>
        </w:trPr>
        <w:tc>
          <w:tcPr>
            <w:tcW w:w="141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Saúde</w:t>
            </w:r>
          </w:p>
        </w:tc>
        <w:tc>
          <w:tcPr>
            <w:tcW w:w="85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gridSpan w:val="2"/>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41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42</w:t>
            </w:r>
          </w:p>
        </w:tc>
        <w:tc>
          <w:tcPr>
            <w:tcW w:w="85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225.95</w:t>
            </w:r>
          </w:p>
        </w:tc>
        <w:tc>
          <w:tcPr>
            <w:tcW w:w="99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12.04</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-95%</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91.73</w:t>
            </w:r>
          </w:p>
        </w:tc>
        <w:tc>
          <w:tcPr>
            <w:tcW w:w="992" w:type="dxa"/>
            <w:gridSpan w:val="2"/>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13.76</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-85%</w:t>
            </w:r>
          </w:p>
        </w:tc>
      </w:tr>
      <w:tr w:rsidR="002343D7" w:rsidRPr="00DB4A68" w:rsidTr="002343D7">
        <w:trPr>
          <w:trHeight w:val="300"/>
        </w:trPr>
        <w:tc>
          <w:tcPr>
            <w:tcW w:w="1418"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Veículos</w:t>
            </w:r>
          </w:p>
        </w:tc>
        <w:tc>
          <w:tcPr>
            <w:tcW w:w="850"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39.75</w:t>
            </w:r>
          </w:p>
        </w:tc>
        <w:tc>
          <w:tcPr>
            <w:tcW w:w="993"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170.16</w:t>
            </w:r>
          </w:p>
        </w:tc>
        <w:tc>
          <w:tcPr>
            <w:tcW w:w="1134"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328%</w:t>
            </w:r>
          </w:p>
        </w:tc>
        <w:tc>
          <w:tcPr>
            <w:tcW w:w="992"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1.94</w:t>
            </w:r>
          </w:p>
        </w:tc>
        <w:tc>
          <w:tcPr>
            <w:tcW w:w="992" w:type="dxa"/>
            <w:gridSpan w:val="2"/>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56.10</w:t>
            </w:r>
          </w:p>
        </w:tc>
        <w:tc>
          <w:tcPr>
            <w:tcW w:w="1276"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2785%</w:t>
            </w:r>
          </w:p>
        </w:tc>
      </w:tr>
      <w:tr w:rsidR="002343D7" w:rsidRPr="00DB4A68" w:rsidTr="002343D7">
        <w:trPr>
          <w:trHeight w:val="300"/>
        </w:trPr>
        <w:tc>
          <w:tcPr>
            <w:tcW w:w="6379" w:type="dxa"/>
            <w:gridSpan w:val="7"/>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bl>
    <w:p w:rsidR="002343D7" w:rsidRDefault="002343D7" w:rsidP="002343D7">
      <w:pPr>
        <w:contextualSpacing/>
        <w:jc w:val="both"/>
        <w:rPr>
          <w:rFonts w:cs="Times New Roman"/>
          <w:szCs w:val="24"/>
        </w:rPr>
      </w:pPr>
    </w:p>
    <w:p w:rsidR="000744EC" w:rsidRPr="00DB4A68" w:rsidRDefault="000744EC" w:rsidP="007B702C">
      <w:pPr>
        <w:contextualSpacing/>
        <w:jc w:val="both"/>
        <w:rPr>
          <w:rFonts w:cs="Times New Roman"/>
          <w:szCs w:val="24"/>
        </w:rPr>
      </w:pPr>
    </w:p>
    <w:p w:rsidR="000744EC" w:rsidRDefault="000744EC" w:rsidP="007B702C">
      <w:pPr>
        <w:ind w:firstLine="708"/>
        <w:contextualSpacing/>
        <w:jc w:val="both"/>
        <w:rPr>
          <w:rFonts w:cs="Times New Roman"/>
          <w:szCs w:val="24"/>
        </w:rPr>
      </w:pPr>
      <w:r w:rsidRPr="00DB4A68">
        <w:rPr>
          <w:rFonts w:cs="Times New Roman"/>
          <w:szCs w:val="24"/>
        </w:rPr>
        <w:t xml:space="preserve">O grande diferencial do estrato rural é quando se observa a segunda etapa da análise (tabela </w:t>
      </w:r>
      <w:r w:rsidR="002343D7">
        <w:rPr>
          <w:rFonts w:cs="Times New Roman"/>
          <w:szCs w:val="24"/>
        </w:rPr>
        <w:t>8</w:t>
      </w:r>
      <w:r w:rsidRPr="00DB4A68">
        <w:rPr>
          <w:rFonts w:cs="Times New Roman"/>
          <w:szCs w:val="24"/>
        </w:rPr>
        <w:t xml:space="preserve">), relacionada aos preços relativos dos domicílios com despesas simultâneas com alimentação e os itens de despesas indicados na tabela, todos os indícios de multa da pobreza são confirmados. Em todos os casos a variação dos preços relativos foi mais prejudicial para os domicílios pobres, até mesmo quando se reduziu o preço relativo do quadro 42 das despesas com serviços de saúde, em razão de ter reduzido mais para os domicílios não pobres (96%). </w:t>
      </w:r>
    </w:p>
    <w:p w:rsidR="000E2D46" w:rsidRDefault="000E2D46" w:rsidP="007B702C">
      <w:pPr>
        <w:ind w:firstLine="708"/>
        <w:contextualSpacing/>
        <w:jc w:val="both"/>
        <w:rPr>
          <w:rFonts w:cs="Times New Roman"/>
          <w:szCs w:val="24"/>
        </w:rPr>
      </w:pPr>
    </w:p>
    <w:tbl>
      <w:tblPr>
        <w:tblW w:w="8070" w:type="dxa"/>
        <w:tblInd w:w="70" w:type="dxa"/>
        <w:tblCellMar>
          <w:left w:w="70" w:type="dxa"/>
          <w:right w:w="70" w:type="dxa"/>
        </w:tblCellMar>
        <w:tblLook w:val="04A0" w:firstRow="1" w:lastRow="0" w:firstColumn="1" w:lastColumn="0" w:noHBand="0" w:noVBand="1"/>
      </w:tblPr>
      <w:tblGrid>
        <w:gridCol w:w="1603"/>
        <w:gridCol w:w="888"/>
        <w:gridCol w:w="1053"/>
        <w:gridCol w:w="1276"/>
        <w:gridCol w:w="992"/>
        <w:gridCol w:w="851"/>
        <w:gridCol w:w="1407"/>
      </w:tblGrid>
      <w:tr w:rsidR="002343D7" w:rsidRPr="00DB4A68" w:rsidTr="002343D7">
        <w:trPr>
          <w:trHeight w:val="300"/>
        </w:trPr>
        <w:tc>
          <w:tcPr>
            <w:tcW w:w="8070" w:type="dxa"/>
            <w:gridSpan w:val="7"/>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Pr>
                <w:rFonts w:eastAsia="Times New Roman" w:cs="Times New Roman"/>
                <w:b/>
                <w:bCs/>
                <w:szCs w:val="24"/>
                <w:lang w:eastAsia="pt-BR"/>
              </w:rPr>
              <w:t>Tabela 8</w:t>
            </w:r>
            <w:r w:rsidRPr="00DB4A68">
              <w:rPr>
                <w:rFonts w:eastAsia="Times New Roman" w:cs="Times New Roman"/>
                <w:b/>
                <w:bCs/>
                <w:szCs w:val="24"/>
                <w:lang w:eastAsia="pt-BR"/>
              </w:rPr>
              <w:t>.</w:t>
            </w:r>
            <w:r w:rsidRPr="00DB4A68">
              <w:rPr>
                <w:rFonts w:eastAsia="Times New Roman" w:cs="Times New Roman"/>
                <w:szCs w:val="24"/>
                <w:lang w:eastAsia="pt-BR"/>
              </w:rPr>
              <w:t xml:space="preserve"> Preços Relativos para os gastos simultâneos com alimentação - Estrato Rural</w:t>
            </w:r>
          </w:p>
        </w:tc>
      </w:tr>
      <w:tr w:rsidR="002343D7" w:rsidRPr="00DB4A68" w:rsidTr="002343D7">
        <w:trPr>
          <w:trHeight w:val="315"/>
        </w:trPr>
        <w:tc>
          <w:tcPr>
            <w:tcW w:w="1603" w:type="dxa"/>
            <w:vMerge w:val="restart"/>
            <w:tcBorders>
              <w:top w:val="single" w:sz="4" w:space="0" w:color="auto"/>
              <w:left w:val="nil"/>
              <w:bottom w:val="single" w:sz="4" w:space="0" w:color="000000"/>
              <w:right w:val="nil"/>
            </w:tcBorders>
            <w:shd w:val="clear" w:color="auto" w:fill="auto"/>
            <w:vAlign w:val="center"/>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Item de despesa</w:t>
            </w:r>
          </w:p>
        </w:tc>
        <w:tc>
          <w:tcPr>
            <w:tcW w:w="3217" w:type="dxa"/>
            <w:gridSpan w:val="3"/>
            <w:tcBorders>
              <w:top w:val="single" w:sz="4" w:space="0" w:color="auto"/>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Não Pobres</w:t>
            </w:r>
          </w:p>
        </w:tc>
        <w:tc>
          <w:tcPr>
            <w:tcW w:w="3250" w:type="dxa"/>
            <w:gridSpan w:val="3"/>
            <w:tcBorders>
              <w:top w:val="single" w:sz="4" w:space="0" w:color="auto"/>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Pobres</w:t>
            </w:r>
          </w:p>
        </w:tc>
      </w:tr>
      <w:tr w:rsidR="002343D7" w:rsidRPr="00DB4A68" w:rsidTr="002343D7">
        <w:trPr>
          <w:trHeight w:val="300"/>
        </w:trPr>
        <w:tc>
          <w:tcPr>
            <w:tcW w:w="1603" w:type="dxa"/>
            <w:vMerge/>
            <w:tcBorders>
              <w:top w:val="single" w:sz="4" w:space="0" w:color="auto"/>
              <w:left w:val="nil"/>
              <w:bottom w:val="single" w:sz="4" w:space="0" w:color="000000"/>
              <w:right w:val="nil"/>
            </w:tcBorders>
            <w:vAlign w:val="center"/>
            <w:hideMark/>
          </w:tcPr>
          <w:p w:rsidR="002343D7" w:rsidRPr="00DB4A68" w:rsidRDefault="002343D7" w:rsidP="002343D7">
            <w:pPr>
              <w:spacing w:after="0" w:line="240" w:lineRule="auto"/>
              <w:contextualSpacing/>
              <w:rPr>
                <w:rFonts w:eastAsia="Times New Roman" w:cs="Times New Roman"/>
                <w:szCs w:val="24"/>
                <w:lang w:eastAsia="pt-BR"/>
              </w:rPr>
            </w:pPr>
          </w:p>
        </w:tc>
        <w:tc>
          <w:tcPr>
            <w:tcW w:w="888"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1053"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276"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992"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851"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407"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90 dias</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05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40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7</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12.97</w:t>
            </w:r>
          </w:p>
        </w:tc>
        <w:tc>
          <w:tcPr>
            <w:tcW w:w="105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5.61</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-57%</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5.50</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6.58</w:t>
            </w:r>
          </w:p>
        </w:tc>
        <w:tc>
          <w:tcPr>
            <w:tcW w:w="140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w:t>
            </w: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8</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10.46</w:t>
            </w:r>
          </w:p>
        </w:tc>
        <w:tc>
          <w:tcPr>
            <w:tcW w:w="105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8.07</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-23%</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8.07</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9.57</w:t>
            </w:r>
          </w:p>
        </w:tc>
        <w:tc>
          <w:tcPr>
            <w:tcW w:w="140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19%</w:t>
            </w: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Outras</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05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40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15</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8.67</w:t>
            </w:r>
          </w:p>
        </w:tc>
        <w:tc>
          <w:tcPr>
            <w:tcW w:w="105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8.17</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5.36</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9.05</w:t>
            </w:r>
          </w:p>
        </w:tc>
        <w:tc>
          <w:tcPr>
            <w:tcW w:w="140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69%</w:t>
            </w: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16</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0.61</w:t>
            </w:r>
          </w:p>
        </w:tc>
        <w:tc>
          <w:tcPr>
            <w:tcW w:w="105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0.62</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0.87</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1.28</w:t>
            </w:r>
          </w:p>
        </w:tc>
        <w:tc>
          <w:tcPr>
            <w:tcW w:w="140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47%</w:t>
            </w: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Saúde</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05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40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60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42</w:t>
            </w:r>
          </w:p>
        </w:tc>
        <w:tc>
          <w:tcPr>
            <w:tcW w:w="88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370.42</w:t>
            </w:r>
          </w:p>
        </w:tc>
        <w:tc>
          <w:tcPr>
            <w:tcW w:w="1053"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14.93</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-96%</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68.40</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11.87</w:t>
            </w:r>
          </w:p>
        </w:tc>
        <w:tc>
          <w:tcPr>
            <w:tcW w:w="140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-83%</w:t>
            </w:r>
          </w:p>
        </w:tc>
      </w:tr>
      <w:tr w:rsidR="002343D7" w:rsidRPr="00DB4A68" w:rsidTr="002343D7">
        <w:trPr>
          <w:trHeight w:val="300"/>
        </w:trPr>
        <w:tc>
          <w:tcPr>
            <w:tcW w:w="1603"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Veículos</w:t>
            </w:r>
          </w:p>
        </w:tc>
        <w:tc>
          <w:tcPr>
            <w:tcW w:w="888"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99.79</w:t>
            </w:r>
          </w:p>
        </w:tc>
        <w:tc>
          <w:tcPr>
            <w:tcW w:w="1053"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203.96</w:t>
            </w:r>
          </w:p>
        </w:tc>
        <w:tc>
          <w:tcPr>
            <w:tcW w:w="1276"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104%</w:t>
            </w:r>
          </w:p>
        </w:tc>
        <w:tc>
          <w:tcPr>
            <w:tcW w:w="992"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12.93</w:t>
            </w:r>
          </w:p>
        </w:tc>
        <w:tc>
          <w:tcPr>
            <w:tcW w:w="851"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51.30</w:t>
            </w:r>
          </w:p>
        </w:tc>
        <w:tc>
          <w:tcPr>
            <w:tcW w:w="1407"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297%</w:t>
            </w:r>
          </w:p>
        </w:tc>
      </w:tr>
      <w:tr w:rsidR="002343D7" w:rsidRPr="00DB4A68" w:rsidTr="002343D7">
        <w:trPr>
          <w:trHeight w:val="300"/>
        </w:trPr>
        <w:tc>
          <w:tcPr>
            <w:tcW w:w="5812" w:type="dxa"/>
            <w:gridSpan w:val="5"/>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407"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bl>
    <w:p w:rsidR="002343D7" w:rsidRPr="00DB4A68" w:rsidRDefault="002343D7" w:rsidP="002343D7">
      <w:pPr>
        <w:contextualSpacing/>
        <w:jc w:val="both"/>
        <w:rPr>
          <w:rFonts w:cs="Times New Roman"/>
          <w:szCs w:val="24"/>
        </w:rPr>
      </w:pPr>
    </w:p>
    <w:p w:rsidR="000744EC" w:rsidRPr="00DB4A68" w:rsidRDefault="000744EC" w:rsidP="007B702C">
      <w:pPr>
        <w:contextualSpacing/>
        <w:jc w:val="both"/>
        <w:rPr>
          <w:rFonts w:cs="Times New Roman"/>
          <w:szCs w:val="24"/>
        </w:rPr>
      </w:pPr>
    </w:p>
    <w:p w:rsidR="000744EC" w:rsidRPr="00DB4A68" w:rsidRDefault="000744EC" w:rsidP="007B702C">
      <w:pPr>
        <w:ind w:firstLine="708"/>
        <w:contextualSpacing/>
        <w:jc w:val="both"/>
        <w:rPr>
          <w:rFonts w:cs="Times New Roman"/>
          <w:szCs w:val="24"/>
        </w:rPr>
      </w:pPr>
      <w:r w:rsidRPr="00DB4A68">
        <w:rPr>
          <w:rFonts w:cs="Times New Roman"/>
          <w:szCs w:val="24"/>
        </w:rPr>
        <w:lastRenderedPageBreak/>
        <w:t xml:space="preserve">Assim, fica claro que para esses grupos de despesas, os domicílios do estrato rural que realizaram gastos com eles sofreram com a atuação da multa da pobreza segundo o conceito de </w:t>
      </w:r>
      <w:proofErr w:type="spellStart"/>
      <w:r w:rsidRPr="00DB4A68">
        <w:rPr>
          <w:rFonts w:cs="Times New Roman"/>
          <w:szCs w:val="24"/>
        </w:rPr>
        <w:t>Prahalad</w:t>
      </w:r>
      <w:proofErr w:type="spellEnd"/>
      <w:r w:rsidRPr="00DB4A68">
        <w:rPr>
          <w:rFonts w:cs="Times New Roman"/>
          <w:szCs w:val="24"/>
        </w:rPr>
        <w:t xml:space="preserve"> (2005).</w:t>
      </w:r>
    </w:p>
    <w:p w:rsidR="000744EC" w:rsidRDefault="000744EC" w:rsidP="007B702C">
      <w:pPr>
        <w:contextualSpacing/>
        <w:jc w:val="both"/>
        <w:rPr>
          <w:rFonts w:cs="Times New Roman"/>
          <w:szCs w:val="24"/>
        </w:rPr>
      </w:pPr>
    </w:p>
    <w:p w:rsidR="000744EC" w:rsidRPr="002B0134" w:rsidRDefault="000744EC" w:rsidP="000E2D46">
      <w:pPr>
        <w:pStyle w:val="PargrafodaLista"/>
        <w:numPr>
          <w:ilvl w:val="1"/>
          <w:numId w:val="1"/>
        </w:numPr>
        <w:jc w:val="both"/>
        <w:rPr>
          <w:rFonts w:cs="Times New Roman"/>
          <w:b/>
          <w:caps/>
          <w:szCs w:val="24"/>
        </w:rPr>
      </w:pPr>
      <w:r w:rsidRPr="002B0134">
        <w:rPr>
          <w:rFonts w:cs="Times New Roman"/>
          <w:b/>
          <w:caps/>
          <w:szCs w:val="24"/>
        </w:rPr>
        <w:t>Estrato Urbano</w:t>
      </w:r>
    </w:p>
    <w:p w:rsidR="000744EC" w:rsidRDefault="000744EC" w:rsidP="007B702C">
      <w:pPr>
        <w:ind w:firstLine="708"/>
        <w:contextualSpacing/>
        <w:jc w:val="both"/>
        <w:rPr>
          <w:rFonts w:cs="Times New Roman"/>
          <w:szCs w:val="24"/>
        </w:rPr>
      </w:pPr>
    </w:p>
    <w:p w:rsidR="000744EC" w:rsidRDefault="000744EC" w:rsidP="007B702C">
      <w:pPr>
        <w:ind w:firstLine="708"/>
        <w:contextualSpacing/>
        <w:jc w:val="both"/>
        <w:rPr>
          <w:rFonts w:cs="Times New Roman"/>
          <w:szCs w:val="24"/>
        </w:rPr>
      </w:pPr>
      <w:r w:rsidRPr="00DB4A68">
        <w:rPr>
          <w:rFonts w:cs="Times New Roman"/>
          <w:szCs w:val="24"/>
        </w:rPr>
        <w:t xml:space="preserve">Por fim, o estrato Urbano seguiu o mesmo padrão entre os outros estratos no que diz respeito </w:t>
      </w:r>
      <w:r w:rsidR="002343D7" w:rsidRPr="00DB4A68">
        <w:rPr>
          <w:rFonts w:cs="Times New Roman"/>
          <w:szCs w:val="24"/>
        </w:rPr>
        <w:t>às</w:t>
      </w:r>
      <w:r w:rsidRPr="00DB4A68">
        <w:rPr>
          <w:rFonts w:cs="Times New Roman"/>
          <w:szCs w:val="24"/>
        </w:rPr>
        <w:t xml:space="preserve"> variações de preços serem positivas para os domicílios pobres. Para o estrato Urbano do estado de Sergipe, de acordo com a primeira fase do teste da multa da pobreza segundo </w:t>
      </w:r>
      <w:proofErr w:type="spellStart"/>
      <w:r w:rsidRPr="00DB4A68">
        <w:rPr>
          <w:rFonts w:cs="Times New Roman"/>
          <w:szCs w:val="24"/>
        </w:rPr>
        <w:t>Prahalad</w:t>
      </w:r>
      <w:proofErr w:type="spellEnd"/>
      <w:r w:rsidRPr="00DB4A68">
        <w:rPr>
          <w:rFonts w:cs="Times New Roman"/>
          <w:szCs w:val="24"/>
        </w:rPr>
        <w:t xml:space="preserve"> (2005), foram selecionados os grupos de despesas que constam na tabela a seguir (tabela </w:t>
      </w:r>
      <w:r w:rsidR="002343D7">
        <w:rPr>
          <w:rFonts w:cs="Times New Roman"/>
          <w:szCs w:val="24"/>
        </w:rPr>
        <w:t>9</w:t>
      </w:r>
      <w:r w:rsidRPr="00DB4A68">
        <w:rPr>
          <w:rFonts w:cs="Times New Roman"/>
          <w:szCs w:val="24"/>
        </w:rPr>
        <w:t xml:space="preserve">). Pelas variações dos preços relativos percebe-se que, para todos esses grupos de despesas, </w:t>
      </w:r>
      <w:r w:rsidR="002343D7">
        <w:rPr>
          <w:rFonts w:cs="Times New Roman"/>
          <w:szCs w:val="24"/>
        </w:rPr>
        <w:t>ou melhor</w:t>
      </w:r>
      <w:r w:rsidRPr="00DB4A68">
        <w:rPr>
          <w:rFonts w:cs="Times New Roman"/>
          <w:szCs w:val="24"/>
        </w:rPr>
        <w:t>, para os domicílios que realizaram gastos nos grupos de despesas que constam na tabela, os domicílios pobres foram mais prejudicados com a dinâmica da variação de preços no passar dos anos. Já com uma olhada geral se percebe que para os pobres houve predominância de aumento de preços, sendo exceção somente o quadro 11 das despesas de 12 meses (construção e reforma de habitação e jazigo), com redução de 5%, e que para os domicílios não pobres predominou as reduções de preços, com exceção do quadro 17 (aquisição de móveis) e das despesas com veículos, que, entre todos os estratos, só se reduziu para os domicílios não pobres do estrato capital.</w:t>
      </w:r>
    </w:p>
    <w:p w:rsidR="000E2D46" w:rsidRDefault="000E2D46" w:rsidP="007B702C">
      <w:pPr>
        <w:ind w:firstLine="708"/>
        <w:contextualSpacing/>
        <w:jc w:val="both"/>
        <w:rPr>
          <w:rFonts w:cs="Times New Roman"/>
          <w:szCs w:val="24"/>
        </w:rPr>
      </w:pPr>
    </w:p>
    <w:tbl>
      <w:tblPr>
        <w:tblW w:w="8364" w:type="dxa"/>
        <w:tblInd w:w="70" w:type="dxa"/>
        <w:tblCellMar>
          <w:left w:w="70" w:type="dxa"/>
          <w:right w:w="70" w:type="dxa"/>
        </w:tblCellMar>
        <w:tblLook w:val="04A0" w:firstRow="1" w:lastRow="0" w:firstColumn="1" w:lastColumn="0" w:noHBand="0" w:noVBand="1"/>
      </w:tblPr>
      <w:tblGrid>
        <w:gridCol w:w="1560"/>
        <w:gridCol w:w="1134"/>
        <w:gridCol w:w="1134"/>
        <w:gridCol w:w="1261"/>
        <w:gridCol w:w="1148"/>
        <w:gridCol w:w="851"/>
        <w:gridCol w:w="1276"/>
      </w:tblGrid>
      <w:tr w:rsidR="002343D7" w:rsidRPr="00DB4A68" w:rsidTr="002343D7">
        <w:trPr>
          <w:trHeight w:val="300"/>
        </w:trPr>
        <w:tc>
          <w:tcPr>
            <w:tcW w:w="8364" w:type="dxa"/>
            <w:gridSpan w:val="7"/>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b/>
                <w:bCs/>
                <w:szCs w:val="24"/>
                <w:lang w:eastAsia="pt-BR"/>
              </w:rPr>
              <w:t xml:space="preserve">Tabela </w:t>
            </w:r>
            <w:r>
              <w:rPr>
                <w:rFonts w:eastAsia="Times New Roman" w:cs="Times New Roman"/>
                <w:b/>
                <w:bCs/>
                <w:szCs w:val="24"/>
                <w:lang w:eastAsia="pt-BR"/>
              </w:rPr>
              <w:t>9</w:t>
            </w:r>
            <w:r w:rsidRPr="00DB4A68">
              <w:rPr>
                <w:rFonts w:eastAsia="Times New Roman" w:cs="Times New Roman"/>
                <w:b/>
                <w:bCs/>
                <w:szCs w:val="24"/>
                <w:lang w:eastAsia="pt-BR"/>
              </w:rPr>
              <w:t>.</w:t>
            </w:r>
            <w:r w:rsidRPr="00DB4A68">
              <w:rPr>
                <w:rFonts w:eastAsia="Times New Roman" w:cs="Times New Roman"/>
                <w:szCs w:val="24"/>
                <w:lang w:eastAsia="pt-BR"/>
              </w:rPr>
              <w:t xml:space="preserve"> Preços Relativos para gastos diretos - Estrato Urbano</w:t>
            </w:r>
          </w:p>
        </w:tc>
      </w:tr>
      <w:tr w:rsidR="002343D7" w:rsidRPr="00DB4A68" w:rsidTr="002343D7">
        <w:trPr>
          <w:trHeight w:val="384"/>
        </w:trPr>
        <w:tc>
          <w:tcPr>
            <w:tcW w:w="1560" w:type="dxa"/>
            <w:vMerge w:val="restart"/>
            <w:tcBorders>
              <w:top w:val="single" w:sz="4" w:space="0" w:color="auto"/>
              <w:left w:val="nil"/>
              <w:bottom w:val="single" w:sz="4" w:space="0" w:color="000000"/>
              <w:right w:val="nil"/>
            </w:tcBorders>
            <w:shd w:val="clear" w:color="auto" w:fill="auto"/>
            <w:vAlign w:val="center"/>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Item de despesa</w:t>
            </w:r>
          </w:p>
        </w:tc>
        <w:tc>
          <w:tcPr>
            <w:tcW w:w="3529" w:type="dxa"/>
            <w:gridSpan w:val="3"/>
            <w:tcBorders>
              <w:top w:val="single" w:sz="4" w:space="0" w:color="auto"/>
              <w:left w:val="nil"/>
              <w:bottom w:val="nil"/>
              <w:right w:val="nil"/>
            </w:tcBorders>
            <w:shd w:val="clear" w:color="auto" w:fill="auto"/>
            <w:noWrap/>
            <w:vAlign w:val="center"/>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 xml:space="preserve">P. </w:t>
            </w:r>
            <w:proofErr w:type="gramStart"/>
            <w:r w:rsidRPr="00DB4A68">
              <w:rPr>
                <w:rFonts w:eastAsia="Times New Roman" w:cs="Times New Roman"/>
                <w:szCs w:val="24"/>
                <w:lang w:eastAsia="pt-BR"/>
              </w:rPr>
              <w:t>Relativo - Não pobres</w:t>
            </w:r>
            <w:proofErr w:type="gramEnd"/>
          </w:p>
        </w:tc>
        <w:tc>
          <w:tcPr>
            <w:tcW w:w="3275" w:type="dxa"/>
            <w:gridSpan w:val="3"/>
            <w:tcBorders>
              <w:top w:val="single" w:sz="4" w:space="0" w:color="auto"/>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 xml:space="preserve">P. </w:t>
            </w:r>
            <w:proofErr w:type="gramStart"/>
            <w:r w:rsidRPr="00DB4A68">
              <w:rPr>
                <w:rFonts w:eastAsia="Times New Roman" w:cs="Times New Roman"/>
                <w:szCs w:val="24"/>
                <w:lang w:eastAsia="pt-BR"/>
              </w:rPr>
              <w:t>Relativo - Pobres</w:t>
            </w:r>
            <w:proofErr w:type="gramEnd"/>
            <w:r w:rsidRPr="00DB4A68">
              <w:rPr>
                <w:rFonts w:eastAsia="Times New Roman" w:cs="Times New Roman"/>
                <w:szCs w:val="24"/>
                <w:lang w:eastAsia="pt-BR"/>
              </w:rPr>
              <w:t> </w:t>
            </w:r>
          </w:p>
        </w:tc>
      </w:tr>
      <w:tr w:rsidR="002343D7" w:rsidRPr="00DB4A68" w:rsidTr="002343D7">
        <w:trPr>
          <w:trHeight w:val="300"/>
        </w:trPr>
        <w:tc>
          <w:tcPr>
            <w:tcW w:w="1560" w:type="dxa"/>
            <w:vMerge/>
            <w:tcBorders>
              <w:top w:val="single" w:sz="4" w:space="0" w:color="auto"/>
              <w:left w:val="nil"/>
              <w:bottom w:val="single" w:sz="4" w:space="0" w:color="000000"/>
              <w:right w:val="nil"/>
            </w:tcBorders>
            <w:vAlign w:val="center"/>
            <w:hideMark/>
          </w:tcPr>
          <w:p w:rsidR="002343D7" w:rsidRPr="00DB4A68" w:rsidRDefault="002343D7" w:rsidP="002343D7">
            <w:pPr>
              <w:spacing w:after="0" w:line="240" w:lineRule="auto"/>
              <w:contextualSpacing/>
              <w:rPr>
                <w:rFonts w:eastAsia="Times New Roman" w:cs="Times New Roman"/>
                <w:szCs w:val="24"/>
                <w:lang w:eastAsia="pt-BR"/>
              </w:rPr>
            </w:pPr>
          </w:p>
        </w:tc>
        <w:tc>
          <w:tcPr>
            <w:tcW w:w="1134"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1134"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261" w:type="dxa"/>
            <w:tcBorders>
              <w:top w:val="nil"/>
              <w:left w:val="nil"/>
              <w:bottom w:val="single" w:sz="4" w:space="0" w:color="auto"/>
              <w:right w:val="nil"/>
            </w:tcBorders>
            <w:shd w:val="clear" w:color="auto" w:fill="auto"/>
            <w:vAlign w:val="center"/>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1148"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851"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276" w:type="dxa"/>
            <w:tcBorders>
              <w:top w:val="nil"/>
              <w:left w:val="nil"/>
              <w:bottom w:val="single" w:sz="4" w:space="0" w:color="auto"/>
              <w:right w:val="nil"/>
            </w:tcBorders>
            <w:shd w:val="clear" w:color="auto" w:fill="auto"/>
            <w:vAlign w:val="center"/>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r>
      <w:tr w:rsidR="002343D7" w:rsidRPr="00DB4A68" w:rsidTr="002343D7">
        <w:trPr>
          <w:trHeight w:val="285"/>
        </w:trPr>
        <w:tc>
          <w:tcPr>
            <w:tcW w:w="156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roofErr w:type="gramStart"/>
            <w:r w:rsidRPr="00DB4A68">
              <w:rPr>
                <w:rFonts w:eastAsia="Times New Roman" w:cs="Times New Roman"/>
                <w:szCs w:val="24"/>
                <w:lang w:eastAsia="pt-BR"/>
              </w:rPr>
              <w:t>7</w:t>
            </w:r>
            <w:proofErr w:type="gramEnd"/>
            <w:r w:rsidRPr="00DB4A68">
              <w:rPr>
                <w:rFonts w:eastAsia="Times New Roman" w:cs="Times New Roman"/>
                <w:szCs w:val="24"/>
                <w:lang w:eastAsia="pt-BR"/>
              </w:rPr>
              <w:t xml:space="preserve"> dias</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1.34</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1.15</w:t>
            </w:r>
          </w:p>
        </w:tc>
        <w:tc>
          <w:tcPr>
            <w:tcW w:w="126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-14%</w:t>
            </w:r>
          </w:p>
        </w:tc>
        <w:tc>
          <w:tcPr>
            <w:tcW w:w="114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0.60</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0.95</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59%</w:t>
            </w:r>
          </w:p>
        </w:tc>
      </w:tr>
      <w:tr w:rsidR="002343D7" w:rsidRPr="00DB4A68" w:rsidTr="002343D7">
        <w:trPr>
          <w:trHeight w:val="300"/>
        </w:trPr>
        <w:tc>
          <w:tcPr>
            <w:tcW w:w="156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90 dias</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6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14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56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 xml:space="preserve"> </w:t>
            </w: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7</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9.24</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6.95</w:t>
            </w:r>
          </w:p>
        </w:tc>
        <w:tc>
          <w:tcPr>
            <w:tcW w:w="126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-25%</w:t>
            </w:r>
          </w:p>
        </w:tc>
        <w:tc>
          <w:tcPr>
            <w:tcW w:w="114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6.32</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6.50</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w:t>
            </w:r>
          </w:p>
        </w:tc>
      </w:tr>
      <w:tr w:rsidR="002343D7" w:rsidRPr="00DB4A68" w:rsidTr="002343D7">
        <w:trPr>
          <w:trHeight w:val="300"/>
        </w:trPr>
        <w:tc>
          <w:tcPr>
            <w:tcW w:w="156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9</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11.27</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7.13</w:t>
            </w:r>
          </w:p>
        </w:tc>
        <w:tc>
          <w:tcPr>
            <w:tcW w:w="126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-37%</w:t>
            </w:r>
          </w:p>
        </w:tc>
        <w:tc>
          <w:tcPr>
            <w:tcW w:w="114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6.77</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7.51</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w:t>
            </w:r>
          </w:p>
        </w:tc>
      </w:tr>
      <w:tr w:rsidR="002343D7" w:rsidRPr="00DB4A68" w:rsidTr="002343D7">
        <w:trPr>
          <w:trHeight w:val="300"/>
        </w:trPr>
        <w:tc>
          <w:tcPr>
            <w:tcW w:w="156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12 meses</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6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14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56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10</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56.06</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20.48</w:t>
            </w:r>
          </w:p>
        </w:tc>
        <w:tc>
          <w:tcPr>
            <w:tcW w:w="126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-63%</w:t>
            </w:r>
          </w:p>
        </w:tc>
        <w:tc>
          <w:tcPr>
            <w:tcW w:w="114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26.18</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26.57</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w:t>
            </w:r>
          </w:p>
        </w:tc>
      </w:tr>
      <w:tr w:rsidR="002343D7" w:rsidRPr="00DB4A68" w:rsidTr="002343D7">
        <w:trPr>
          <w:trHeight w:val="300"/>
        </w:trPr>
        <w:tc>
          <w:tcPr>
            <w:tcW w:w="156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11</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16.44</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7.22</w:t>
            </w:r>
          </w:p>
        </w:tc>
        <w:tc>
          <w:tcPr>
            <w:tcW w:w="126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-56%</w:t>
            </w:r>
          </w:p>
        </w:tc>
        <w:tc>
          <w:tcPr>
            <w:tcW w:w="114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6.28</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5.99</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w:t>
            </w:r>
          </w:p>
        </w:tc>
      </w:tr>
      <w:tr w:rsidR="002343D7" w:rsidRPr="00DB4A68" w:rsidTr="002343D7">
        <w:trPr>
          <w:trHeight w:val="300"/>
        </w:trPr>
        <w:tc>
          <w:tcPr>
            <w:tcW w:w="156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Outras</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6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14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56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15</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9.07</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8.92</w:t>
            </w:r>
          </w:p>
        </w:tc>
        <w:tc>
          <w:tcPr>
            <w:tcW w:w="126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w:t>
            </w:r>
          </w:p>
        </w:tc>
        <w:tc>
          <w:tcPr>
            <w:tcW w:w="114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5.10</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6.91</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35%</w:t>
            </w:r>
          </w:p>
        </w:tc>
      </w:tr>
      <w:tr w:rsidR="002343D7" w:rsidRPr="00DB4A68" w:rsidTr="002343D7">
        <w:trPr>
          <w:trHeight w:val="300"/>
        </w:trPr>
        <w:tc>
          <w:tcPr>
            <w:tcW w:w="1560"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17</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10.37</w:t>
            </w:r>
          </w:p>
        </w:tc>
        <w:tc>
          <w:tcPr>
            <w:tcW w:w="11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16.53</w:t>
            </w:r>
          </w:p>
        </w:tc>
        <w:tc>
          <w:tcPr>
            <w:tcW w:w="126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59%</w:t>
            </w:r>
          </w:p>
        </w:tc>
        <w:tc>
          <w:tcPr>
            <w:tcW w:w="1148"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5.45</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10.37</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90%</w:t>
            </w:r>
          </w:p>
        </w:tc>
      </w:tr>
      <w:tr w:rsidR="002343D7" w:rsidRPr="00DB4A68" w:rsidTr="002343D7">
        <w:trPr>
          <w:trHeight w:val="300"/>
        </w:trPr>
        <w:tc>
          <w:tcPr>
            <w:tcW w:w="1560"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Veículos</w:t>
            </w:r>
          </w:p>
        </w:tc>
        <w:tc>
          <w:tcPr>
            <w:tcW w:w="1134"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70.39</w:t>
            </w:r>
          </w:p>
        </w:tc>
        <w:tc>
          <w:tcPr>
            <w:tcW w:w="1134"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96.31</w:t>
            </w:r>
          </w:p>
        </w:tc>
        <w:tc>
          <w:tcPr>
            <w:tcW w:w="1261"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37%</w:t>
            </w:r>
          </w:p>
        </w:tc>
        <w:tc>
          <w:tcPr>
            <w:tcW w:w="1148"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20.41</w:t>
            </w:r>
          </w:p>
        </w:tc>
        <w:tc>
          <w:tcPr>
            <w:tcW w:w="851"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35.93</w:t>
            </w:r>
          </w:p>
        </w:tc>
        <w:tc>
          <w:tcPr>
            <w:tcW w:w="1276"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76%</w:t>
            </w:r>
          </w:p>
        </w:tc>
      </w:tr>
      <w:tr w:rsidR="002343D7" w:rsidRPr="00DB4A68" w:rsidTr="002343D7">
        <w:trPr>
          <w:trHeight w:val="300"/>
        </w:trPr>
        <w:tc>
          <w:tcPr>
            <w:tcW w:w="7088" w:type="dxa"/>
            <w:gridSpan w:val="6"/>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bl>
    <w:p w:rsidR="000744EC" w:rsidRPr="00DB4A68" w:rsidRDefault="002343D7" w:rsidP="007B702C">
      <w:pPr>
        <w:contextualSpacing/>
        <w:jc w:val="both"/>
        <w:rPr>
          <w:rFonts w:cs="Times New Roman"/>
          <w:szCs w:val="24"/>
        </w:rPr>
      </w:pPr>
      <w:r w:rsidRPr="00DB4A68">
        <w:rPr>
          <w:rFonts w:cs="Times New Roman"/>
          <w:szCs w:val="24"/>
        </w:rPr>
        <w:t xml:space="preserve"> </w:t>
      </w:r>
    </w:p>
    <w:p w:rsidR="000744EC" w:rsidRPr="00DB4A68" w:rsidRDefault="000744EC" w:rsidP="007B702C">
      <w:pPr>
        <w:ind w:firstLine="708"/>
        <w:contextualSpacing/>
        <w:jc w:val="both"/>
        <w:rPr>
          <w:rFonts w:cs="Times New Roman"/>
          <w:szCs w:val="24"/>
        </w:rPr>
      </w:pPr>
      <w:r w:rsidRPr="00DB4A68">
        <w:rPr>
          <w:rFonts w:cs="Times New Roman"/>
          <w:szCs w:val="24"/>
        </w:rPr>
        <w:lastRenderedPageBreak/>
        <w:t xml:space="preserve">Sendo claro que, quando há aumento de preços para os pobres e redução para </w:t>
      </w:r>
      <w:proofErr w:type="gramStart"/>
      <w:r w:rsidRPr="00DB4A68">
        <w:rPr>
          <w:rFonts w:cs="Times New Roman"/>
          <w:szCs w:val="24"/>
        </w:rPr>
        <w:t>os não</w:t>
      </w:r>
      <w:proofErr w:type="gramEnd"/>
      <w:r w:rsidRPr="00DB4A68">
        <w:rPr>
          <w:rFonts w:cs="Times New Roman"/>
          <w:szCs w:val="24"/>
        </w:rPr>
        <w:t xml:space="preserve"> pobres, isso indica atuação de multa da pobreza, é preciso somente explicar as exceções. A multa se configura no caso da redução de 5% dos preços pagos pelos domicílios pobres nas despesas com construção e reforma de habitação e jazigo </w:t>
      </w:r>
      <w:proofErr w:type="gramStart"/>
      <w:r w:rsidRPr="00DB4A68">
        <w:rPr>
          <w:rFonts w:cs="Times New Roman"/>
          <w:szCs w:val="24"/>
        </w:rPr>
        <w:t>a</w:t>
      </w:r>
      <w:proofErr w:type="gramEnd"/>
      <w:r w:rsidRPr="00DB4A68">
        <w:rPr>
          <w:rFonts w:cs="Times New Roman"/>
          <w:szCs w:val="24"/>
        </w:rPr>
        <w:t xml:space="preserve"> medida que observa-se que os domicílios não pobres tiveram seus preços reduzidos muito mais, em 56%. E no caso em que houve aumento de preços para os domicílios não pobres, houve aumento maior para os domicílios pobres, evidenciando a sua pior situação. </w:t>
      </w:r>
    </w:p>
    <w:p w:rsidR="000744EC" w:rsidRDefault="000744EC" w:rsidP="007B702C">
      <w:pPr>
        <w:ind w:firstLine="708"/>
        <w:contextualSpacing/>
        <w:jc w:val="both"/>
        <w:rPr>
          <w:rFonts w:cs="Times New Roman"/>
          <w:szCs w:val="24"/>
        </w:rPr>
      </w:pPr>
      <w:r w:rsidRPr="00DB4A68">
        <w:rPr>
          <w:rFonts w:cs="Times New Roman"/>
          <w:szCs w:val="24"/>
        </w:rPr>
        <w:t xml:space="preserve">Quando passamos a observar a segunda fase da análise, observando os preços relativos também </w:t>
      </w:r>
      <w:proofErr w:type="gramStart"/>
      <w:r w:rsidRPr="00DB4A68">
        <w:rPr>
          <w:rFonts w:cs="Times New Roman"/>
          <w:szCs w:val="24"/>
        </w:rPr>
        <w:t>a</w:t>
      </w:r>
      <w:proofErr w:type="gramEnd"/>
      <w:r w:rsidRPr="00DB4A68">
        <w:rPr>
          <w:rFonts w:cs="Times New Roman"/>
          <w:szCs w:val="24"/>
        </w:rPr>
        <w:t xml:space="preserve"> alimentação, dos domicílios com despesas com alimentação e com os itens em questão, na tabela </w:t>
      </w:r>
      <w:r w:rsidR="002343D7">
        <w:rPr>
          <w:rFonts w:cs="Times New Roman"/>
          <w:szCs w:val="24"/>
        </w:rPr>
        <w:t>10</w:t>
      </w:r>
      <w:r w:rsidRPr="00DB4A68">
        <w:rPr>
          <w:rFonts w:cs="Times New Roman"/>
          <w:szCs w:val="24"/>
        </w:rPr>
        <w:t>, percebe-se a mesma situação que o estrato capital apresentou: somente um item de despesa não se comprovou como multa da pobreza.</w:t>
      </w:r>
    </w:p>
    <w:p w:rsidR="002343D7" w:rsidRDefault="002343D7" w:rsidP="007B702C">
      <w:pPr>
        <w:ind w:firstLine="708"/>
        <w:contextualSpacing/>
        <w:jc w:val="both"/>
        <w:rPr>
          <w:rFonts w:cs="Times New Roman"/>
          <w:szCs w:val="24"/>
        </w:rPr>
      </w:pPr>
    </w:p>
    <w:tbl>
      <w:tblPr>
        <w:tblW w:w="7797" w:type="dxa"/>
        <w:tblInd w:w="70" w:type="dxa"/>
        <w:tblCellMar>
          <w:left w:w="70" w:type="dxa"/>
          <w:right w:w="70" w:type="dxa"/>
        </w:tblCellMar>
        <w:tblLook w:val="04A0" w:firstRow="1" w:lastRow="0" w:firstColumn="1" w:lastColumn="0" w:noHBand="0" w:noVBand="1"/>
      </w:tblPr>
      <w:tblGrid>
        <w:gridCol w:w="1476"/>
        <w:gridCol w:w="934"/>
        <w:gridCol w:w="992"/>
        <w:gridCol w:w="1276"/>
        <w:gridCol w:w="992"/>
        <w:gridCol w:w="851"/>
        <w:gridCol w:w="1276"/>
      </w:tblGrid>
      <w:tr w:rsidR="002343D7" w:rsidRPr="00DB4A68" w:rsidTr="002343D7">
        <w:trPr>
          <w:trHeight w:val="300"/>
        </w:trPr>
        <w:tc>
          <w:tcPr>
            <w:tcW w:w="7797" w:type="dxa"/>
            <w:gridSpan w:val="7"/>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Pr>
                <w:rFonts w:eastAsia="Times New Roman" w:cs="Times New Roman"/>
                <w:b/>
                <w:bCs/>
                <w:szCs w:val="24"/>
                <w:lang w:eastAsia="pt-BR"/>
              </w:rPr>
              <w:t>Tabela 10</w:t>
            </w:r>
            <w:r w:rsidRPr="00DB4A68">
              <w:rPr>
                <w:rFonts w:eastAsia="Times New Roman" w:cs="Times New Roman"/>
                <w:b/>
                <w:bCs/>
                <w:szCs w:val="24"/>
                <w:lang w:eastAsia="pt-BR"/>
              </w:rPr>
              <w:t>.</w:t>
            </w:r>
            <w:r w:rsidRPr="00DB4A68">
              <w:rPr>
                <w:rFonts w:eastAsia="Times New Roman" w:cs="Times New Roman"/>
                <w:szCs w:val="24"/>
                <w:lang w:eastAsia="pt-BR"/>
              </w:rPr>
              <w:t xml:space="preserve"> Preços Relativos para os gastos simultâneos com alimentação - Estrato Urbano</w:t>
            </w:r>
          </w:p>
        </w:tc>
      </w:tr>
      <w:tr w:rsidR="002343D7" w:rsidRPr="00DB4A68" w:rsidTr="002343D7">
        <w:trPr>
          <w:trHeight w:val="300"/>
        </w:trPr>
        <w:tc>
          <w:tcPr>
            <w:tcW w:w="1476" w:type="dxa"/>
            <w:vMerge w:val="restart"/>
            <w:tcBorders>
              <w:top w:val="single" w:sz="4" w:space="0" w:color="auto"/>
              <w:left w:val="nil"/>
              <w:right w:val="nil"/>
            </w:tcBorders>
            <w:shd w:val="clear" w:color="auto" w:fill="auto"/>
            <w:vAlign w:val="center"/>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Item de despesa</w:t>
            </w:r>
          </w:p>
        </w:tc>
        <w:tc>
          <w:tcPr>
            <w:tcW w:w="3202" w:type="dxa"/>
            <w:gridSpan w:val="3"/>
            <w:tcBorders>
              <w:top w:val="single" w:sz="4" w:space="0" w:color="auto"/>
              <w:left w:val="nil"/>
              <w:bottom w:val="nil"/>
              <w:right w:val="nil"/>
            </w:tcBorders>
            <w:shd w:val="clear" w:color="auto" w:fill="auto"/>
            <w:noWrap/>
            <w:vAlign w:val="center"/>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 xml:space="preserve">P. </w:t>
            </w:r>
            <w:proofErr w:type="gramStart"/>
            <w:r w:rsidRPr="00DB4A68">
              <w:rPr>
                <w:rFonts w:eastAsia="Times New Roman" w:cs="Times New Roman"/>
                <w:szCs w:val="24"/>
                <w:lang w:eastAsia="pt-BR"/>
              </w:rPr>
              <w:t>Relativo - Não Pobres</w:t>
            </w:r>
            <w:proofErr w:type="gramEnd"/>
          </w:p>
        </w:tc>
        <w:tc>
          <w:tcPr>
            <w:tcW w:w="3119" w:type="dxa"/>
            <w:gridSpan w:val="3"/>
            <w:tcBorders>
              <w:top w:val="single" w:sz="4" w:space="0" w:color="auto"/>
              <w:left w:val="nil"/>
              <w:bottom w:val="nil"/>
              <w:right w:val="nil"/>
            </w:tcBorders>
            <w:shd w:val="clear" w:color="auto" w:fill="auto"/>
            <w:noWrap/>
            <w:vAlign w:val="center"/>
            <w:hideMark/>
          </w:tcPr>
          <w:p w:rsidR="002343D7" w:rsidRPr="00DB4A68" w:rsidRDefault="002343D7" w:rsidP="002343D7">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 xml:space="preserve">P. </w:t>
            </w:r>
            <w:proofErr w:type="gramStart"/>
            <w:r w:rsidRPr="00DB4A68">
              <w:rPr>
                <w:rFonts w:eastAsia="Times New Roman" w:cs="Times New Roman"/>
                <w:szCs w:val="24"/>
                <w:lang w:eastAsia="pt-BR"/>
              </w:rPr>
              <w:t>Relativo - Pobres</w:t>
            </w:r>
            <w:proofErr w:type="gramEnd"/>
          </w:p>
        </w:tc>
      </w:tr>
      <w:tr w:rsidR="002343D7" w:rsidRPr="00DB4A68" w:rsidTr="002343D7">
        <w:trPr>
          <w:trHeight w:val="300"/>
        </w:trPr>
        <w:tc>
          <w:tcPr>
            <w:tcW w:w="1476" w:type="dxa"/>
            <w:vMerge/>
            <w:tcBorders>
              <w:left w:val="nil"/>
              <w:bottom w:val="single" w:sz="4" w:space="0" w:color="auto"/>
              <w:right w:val="nil"/>
            </w:tcBorders>
            <w:shd w:val="clear" w:color="auto" w:fill="auto"/>
            <w:vAlign w:val="center"/>
            <w:hideMark/>
          </w:tcPr>
          <w:p w:rsidR="002343D7" w:rsidRPr="00DB4A68" w:rsidRDefault="002343D7" w:rsidP="002343D7">
            <w:pPr>
              <w:spacing w:after="0" w:line="240" w:lineRule="auto"/>
              <w:contextualSpacing/>
              <w:rPr>
                <w:rFonts w:eastAsia="Times New Roman" w:cs="Times New Roman"/>
                <w:szCs w:val="24"/>
                <w:lang w:eastAsia="pt-BR"/>
              </w:rPr>
            </w:pPr>
          </w:p>
        </w:tc>
        <w:tc>
          <w:tcPr>
            <w:tcW w:w="934"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992"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276"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992"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851"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276"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Variação</w:t>
            </w:r>
          </w:p>
        </w:tc>
      </w:tr>
      <w:tr w:rsidR="002343D7" w:rsidRPr="00DB4A68" w:rsidTr="002343D7">
        <w:trPr>
          <w:trHeight w:val="285"/>
        </w:trPr>
        <w:tc>
          <w:tcPr>
            <w:tcW w:w="14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roofErr w:type="gramStart"/>
            <w:r w:rsidRPr="00DB4A68">
              <w:rPr>
                <w:rFonts w:eastAsia="Times New Roman" w:cs="Times New Roman"/>
                <w:szCs w:val="24"/>
                <w:lang w:eastAsia="pt-BR"/>
              </w:rPr>
              <w:t>7</w:t>
            </w:r>
            <w:proofErr w:type="gramEnd"/>
            <w:r w:rsidRPr="00DB4A68">
              <w:rPr>
                <w:rFonts w:eastAsia="Times New Roman" w:cs="Times New Roman"/>
                <w:szCs w:val="24"/>
                <w:lang w:eastAsia="pt-BR"/>
              </w:rPr>
              <w:t xml:space="preserve"> dias</w:t>
            </w:r>
          </w:p>
        </w:tc>
        <w:tc>
          <w:tcPr>
            <w:tcW w:w="9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0.93</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1.42</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52%</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0.77</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1.21</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57%</w:t>
            </w:r>
          </w:p>
        </w:tc>
      </w:tr>
      <w:tr w:rsidR="002343D7" w:rsidRPr="00DB4A68" w:rsidTr="002343D7">
        <w:trPr>
          <w:trHeight w:val="300"/>
        </w:trPr>
        <w:tc>
          <w:tcPr>
            <w:tcW w:w="14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90 dias</w:t>
            </w:r>
          </w:p>
        </w:tc>
        <w:tc>
          <w:tcPr>
            <w:tcW w:w="9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4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7</w:t>
            </w:r>
          </w:p>
        </w:tc>
        <w:tc>
          <w:tcPr>
            <w:tcW w:w="9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9.46</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7.40</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7.19</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7.31</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w:t>
            </w:r>
          </w:p>
        </w:tc>
      </w:tr>
      <w:tr w:rsidR="002343D7" w:rsidRPr="00DB4A68" w:rsidTr="002343D7">
        <w:trPr>
          <w:trHeight w:val="300"/>
        </w:trPr>
        <w:tc>
          <w:tcPr>
            <w:tcW w:w="14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9</w:t>
            </w:r>
          </w:p>
        </w:tc>
        <w:tc>
          <w:tcPr>
            <w:tcW w:w="9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13.59</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7.81</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-43%</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6.31</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9.02</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43%</w:t>
            </w:r>
          </w:p>
        </w:tc>
      </w:tr>
      <w:tr w:rsidR="002343D7" w:rsidRPr="00DB4A68" w:rsidTr="002343D7">
        <w:trPr>
          <w:trHeight w:val="300"/>
        </w:trPr>
        <w:tc>
          <w:tcPr>
            <w:tcW w:w="14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12 meses</w:t>
            </w:r>
          </w:p>
        </w:tc>
        <w:tc>
          <w:tcPr>
            <w:tcW w:w="9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4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10</w:t>
            </w:r>
          </w:p>
        </w:tc>
        <w:tc>
          <w:tcPr>
            <w:tcW w:w="9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61.87</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22.61</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-63%</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29.34</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36.22</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23%</w:t>
            </w:r>
          </w:p>
        </w:tc>
      </w:tr>
      <w:tr w:rsidR="002343D7" w:rsidRPr="00DB4A68" w:rsidTr="002343D7">
        <w:trPr>
          <w:trHeight w:val="300"/>
        </w:trPr>
        <w:tc>
          <w:tcPr>
            <w:tcW w:w="14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11</w:t>
            </w:r>
          </w:p>
        </w:tc>
        <w:tc>
          <w:tcPr>
            <w:tcW w:w="9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8.78</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8.15</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5.30</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8.28</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56%</w:t>
            </w:r>
          </w:p>
        </w:tc>
      </w:tr>
      <w:tr w:rsidR="002343D7" w:rsidRPr="00DB4A68" w:rsidTr="002343D7">
        <w:trPr>
          <w:trHeight w:val="300"/>
        </w:trPr>
        <w:tc>
          <w:tcPr>
            <w:tcW w:w="14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Outras</w:t>
            </w:r>
          </w:p>
        </w:tc>
        <w:tc>
          <w:tcPr>
            <w:tcW w:w="9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r w:rsidR="002343D7" w:rsidRPr="00DB4A68" w:rsidTr="002343D7">
        <w:trPr>
          <w:trHeight w:val="300"/>
        </w:trPr>
        <w:tc>
          <w:tcPr>
            <w:tcW w:w="14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15</w:t>
            </w:r>
          </w:p>
        </w:tc>
        <w:tc>
          <w:tcPr>
            <w:tcW w:w="9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10.27</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9.48</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5.90</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7.92</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34%</w:t>
            </w:r>
          </w:p>
        </w:tc>
      </w:tr>
      <w:tr w:rsidR="002343D7" w:rsidRPr="00DB4A68" w:rsidTr="002343D7">
        <w:trPr>
          <w:trHeight w:val="300"/>
        </w:trPr>
        <w:tc>
          <w:tcPr>
            <w:tcW w:w="14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17</w:t>
            </w:r>
          </w:p>
        </w:tc>
        <w:tc>
          <w:tcPr>
            <w:tcW w:w="934"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9.77</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19.18</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96%</w:t>
            </w:r>
          </w:p>
        </w:tc>
        <w:tc>
          <w:tcPr>
            <w:tcW w:w="992"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6.34</w:t>
            </w:r>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11.70</w:t>
            </w: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84%</w:t>
            </w:r>
          </w:p>
        </w:tc>
      </w:tr>
      <w:tr w:rsidR="002343D7" w:rsidRPr="00DB4A68" w:rsidTr="002343D7">
        <w:trPr>
          <w:trHeight w:val="300"/>
        </w:trPr>
        <w:tc>
          <w:tcPr>
            <w:tcW w:w="1476"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Veículos</w:t>
            </w:r>
          </w:p>
        </w:tc>
        <w:tc>
          <w:tcPr>
            <w:tcW w:w="934"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86.38</w:t>
            </w:r>
          </w:p>
        </w:tc>
        <w:tc>
          <w:tcPr>
            <w:tcW w:w="992"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98.71</w:t>
            </w:r>
          </w:p>
        </w:tc>
        <w:tc>
          <w:tcPr>
            <w:tcW w:w="1276"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14%</w:t>
            </w:r>
          </w:p>
        </w:tc>
        <w:tc>
          <w:tcPr>
            <w:tcW w:w="992"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22.51</w:t>
            </w:r>
          </w:p>
        </w:tc>
        <w:tc>
          <w:tcPr>
            <w:tcW w:w="851"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48.69</w:t>
            </w:r>
          </w:p>
        </w:tc>
        <w:tc>
          <w:tcPr>
            <w:tcW w:w="1276" w:type="dxa"/>
            <w:tcBorders>
              <w:top w:val="nil"/>
              <w:left w:val="nil"/>
              <w:bottom w:val="single" w:sz="4" w:space="0" w:color="auto"/>
              <w:right w:val="nil"/>
            </w:tcBorders>
            <w:shd w:val="clear" w:color="auto" w:fill="auto"/>
            <w:noWrap/>
            <w:vAlign w:val="bottom"/>
            <w:hideMark/>
          </w:tcPr>
          <w:p w:rsidR="002343D7" w:rsidRPr="00DB4A68" w:rsidRDefault="002343D7" w:rsidP="002343D7">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116%</w:t>
            </w:r>
          </w:p>
        </w:tc>
      </w:tr>
      <w:tr w:rsidR="002343D7" w:rsidRPr="00DB4A68" w:rsidTr="002343D7">
        <w:trPr>
          <w:trHeight w:val="300"/>
        </w:trPr>
        <w:tc>
          <w:tcPr>
            <w:tcW w:w="5670" w:type="dxa"/>
            <w:gridSpan w:val="5"/>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p>
        </w:tc>
        <w:tc>
          <w:tcPr>
            <w:tcW w:w="851"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2343D7" w:rsidRPr="00DB4A68" w:rsidRDefault="002343D7" w:rsidP="002343D7">
            <w:pPr>
              <w:spacing w:after="0" w:line="240" w:lineRule="auto"/>
              <w:contextualSpacing/>
              <w:rPr>
                <w:rFonts w:eastAsia="Times New Roman" w:cs="Times New Roman"/>
                <w:szCs w:val="24"/>
                <w:lang w:eastAsia="pt-BR"/>
              </w:rPr>
            </w:pPr>
          </w:p>
        </w:tc>
      </w:tr>
    </w:tbl>
    <w:p w:rsidR="002343D7" w:rsidRPr="00DB4A68" w:rsidRDefault="002343D7" w:rsidP="002343D7">
      <w:pPr>
        <w:contextualSpacing/>
        <w:jc w:val="both"/>
        <w:rPr>
          <w:rFonts w:cs="Times New Roman"/>
          <w:szCs w:val="24"/>
        </w:rPr>
      </w:pPr>
      <w:r w:rsidRPr="00DB4A68">
        <w:rPr>
          <w:rFonts w:cs="Times New Roman"/>
          <w:szCs w:val="24"/>
        </w:rPr>
        <w:t xml:space="preserve"> </w:t>
      </w:r>
    </w:p>
    <w:p w:rsidR="000744EC" w:rsidRPr="00DB4A68" w:rsidRDefault="000744EC" w:rsidP="007B702C">
      <w:pPr>
        <w:contextualSpacing/>
        <w:jc w:val="both"/>
        <w:rPr>
          <w:rFonts w:cs="Times New Roman"/>
          <w:szCs w:val="24"/>
        </w:rPr>
      </w:pPr>
      <w:r w:rsidRPr="00DB4A68">
        <w:rPr>
          <w:rFonts w:cs="Times New Roman"/>
          <w:szCs w:val="24"/>
        </w:rPr>
        <w:t xml:space="preserve"> </w:t>
      </w:r>
    </w:p>
    <w:p w:rsidR="000744EC" w:rsidRDefault="000744EC" w:rsidP="007B702C">
      <w:pPr>
        <w:ind w:firstLine="708"/>
        <w:contextualSpacing/>
        <w:jc w:val="both"/>
        <w:rPr>
          <w:rFonts w:cs="Times New Roman"/>
          <w:szCs w:val="24"/>
        </w:rPr>
      </w:pPr>
      <w:r w:rsidRPr="00DB4A68">
        <w:rPr>
          <w:rFonts w:cs="Times New Roman"/>
          <w:szCs w:val="24"/>
        </w:rPr>
        <w:t xml:space="preserve">Nessa etapa, todos os preços relativos pagos pelos domicílios pobres sofreram aumento. E quando comparados com os preços pagos pelos não pobres, vê-se que sempre a variação foi maior para os domicílios pobres. A única exceção é para a aquisição de móveis (quadro 17), onde o aumento de preços foi de 84% para os domicílios pobres e de 96% para </w:t>
      </w:r>
      <w:proofErr w:type="gramStart"/>
      <w:r w:rsidRPr="00DB4A68">
        <w:rPr>
          <w:rFonts w:cs="Times New Roman"/>
          <w:szCs w:val="24"/>
        </w:rPr>
        <w:t>os não</w:t>
      </w:r>
      <w:proofErr w:type="gramEnd"/>
      <w:r w:rsidRPr="00DB4A68">
        <w:rPr>
          <w:rFonts w:cs="Times New Roman"/>
          <w:szCs w:val="24"/>
        </w:rPr>
        <w:t xml:space="preserve"> pobres. Sendo assim, fica claro que os domicílios pobres do estrato urbano que realizaram despesas dos tipos encontrados na tabela, excluído o quadro 17, sofreram com a atuação da multa da pobreza.</w:t>
      </w:r>
    </w:p>
    <w:p w:rsidR="0081136E" w:rsidRPr="00DB4A68" w:rsidRDefault="0081136E" w:rsidP="007B702C">
      <w:pPr>
        <w:ind w:firstLine="708"/>
        <w:contextualSpacing/>
        <w:jc w:val="both"/>
        <w:rPr>
          <w:rFonts w:cs="Times New Roman"/>
          <w:szCs w:val="24"/>
        </w:rPr>
      </w:pPr>
    </w:p>
    <w:p w:rsidR="000744EC" w:rsidRPr="000E2D46" w:rsidRDefault="000744EC" w:rsidP="000E2D46">
      <w:pPr>
        <w:pStyle w:val="PargrafodaLista"/>
        <w:numPr>
          <w:ilvl w:val="0"/>
          <w:numId w:val="1"/>
        </w:numPr>
        <w:jc w:val="both"/>
        <w:rPr>
          <w:b/>
        </w:rPr>
      </w:pPr>
      <w:r w:rsidRPr="000E2D46">
        <w:rPr>
          <w:b/>
        </w:rPr>
        <w:t>ANÁLISE DOS RESULTADOS</w:t>
      </w:r>
    </w:p>
    <w:p w:rsidR="002343D7" w:rsidRDefault="002343D7" w:rsidP="007B702C">
      <w:pPr>
        <w:contextualSpacing/>
        <w:jc w:val="both"/>
        <w:rPr>
          <w:b/>
        </w:rPr>
      </w:pPr>
    </w:p>
    <w:p w:rsidR="0081136E" w:rsidRDefault="002343D7" w:rsidP="007B60DE">
      <w:pPr>
        <w:ind w:firstLine="708"/>
        <w:contextualSpacing/>
        <w:jc w:val="both"/>
        <w:rPr>
          <w:b/>
        </w:rPr>
      </w:pPr>
      <w:r>
        <w:t>A</w:t>
      </w:r>
      <w:r w:rsidRPr="00DB4A68">
        <w:t xml:space="preserve">presenta-se aqui o resultado da variável teste, baseado na participação que as despesas de certo item tem em relação </w:t>
      </w:r>
      <w:proofErr w:type="gramStart"/>
      <w:r w:rsidRPr="00DB4A68">
        <w:t>a</w:t>
      </w:r>
      <w:proofErr w:type="gramEnd"/>
      <w:r w:rsidRPr="00DB4A68">
        <w:t xml:space="preserve"> renda do domicílios. Ou seja, o quanto a despesa daquele item representam na renda domiciliar. Indica-se situação prejudicial para os domicílios pobres quando essa participação aumenta mais para esses domicílios do que para </w:t>
      </w:r>
      <w:proofErr w:type="gramStart"/>
      <w:r w:rsidRPr="00DB4A68">
        <w:t>os não</w:t>
      </w:r>
      <w:proofErr w:type="gramEnd"/>
      <w:r w:rsidRPr="00DB4A68">
        <w:t xml:space="preserve"> pobres.</w:t>
      </w:r>
      <w:r w:rsidR="007B60DE" w:rsidRPr="007B60DE">
        <w:t xml:space="preserve"> </w:t>
      </w:r>
    </w:p>
    <w:p w:rsidR="007B60DE" w:rsidRDefault="0081136E" w:rsidP="007B60DE">
      <w:pPr>
        <w:ind w:firstLine="708"/>
        <w:contextualSpacing/>
        <w:jc w:val="both"/>
      </w:pPr>
      <w:r w:rsidRPr="00DB4A68">
        <w:t xml:space="preserve">Sendo assim, as nas tabelas </w:t>
      </w:r>
      <w:r w:rsidR="007B60DE">
        <w:t>11</w:t>
      </w:r>
      <w:r w:rsidRPr="00DB4A68">
        <w:t xml:space="preserve">, </w:t>
      </w:r>
      <w:r w:rsidR="007B60DE">
        <w:t>12</w:t>
      </w:r>
      <w:r w:rsidRPr="00DB4A68">
        <w:t xml:space="preserve"> e </w:t>
      </w:r>
      <w:r w:rsidR="007B60DE">
        <w:t>13</w:t>
      </w:r>
      <w:r w:rsidRPr="00DB4A68">
        <w:t>, as colunas indicada por “Relação” representam a relação entre a participação da despesa do item na renda do domicílio e a participação da despesa com alimentação na ren</w:t>
      </w:r>
      <w:r w:rsidR="007B60DE">
        <w:t>da do mesmo domicílio, conforme mencionado na metodologia deste trabalho.</w:t>
      </w:r>
    </w:p>
    <w:p w:rsidR="000F07C7" w:rsidRDefault="0081136E" w:rsidP="000F07C7">
      <w:pPr>
        <w:ind w:firstLine="708"/>
        <w:contextualSpacing/>
        <w:jc w:val="both"/>
        <w:rPr>
          <w:rFonts w:eastAsiaTheme="minorEastAsia"/>
        </w:rPr>
      </w:pPr>
      <w:r w:rsidRPr="00DB4A68">
        <w:rPr>
          <w:rFonts w:eastAsiaTheme="minorEastAsia"/>
        </w:rPr>
        <w:t>Em razões de melhor visualização, as tabelas apresentam somente os quadros e grupos de despesas onde foi encontrado indícios de multa da pobreza inicialmente, sendo então a coluna Variável Hipótes</w:t>
      </w:r>
      <w:r>
        <w:rPr>
          <w:rFonts w:eastAsiaTheme="minorEastAsia"/>
        </w:rPr>
        <w:t xml:space="preserve">e composta toda pelo índice </w:t>
      </w:r>
      <w:proofErr w:type="gramStart"/>
      <w:r>
        <w:rPr>
          <w:rFonts w:eastAsiaTheme="minorEastAsia"/>
        </w:rPr>
        <w:t>1</w:t>
      </w:r>
      <w:proofErr w:type="gramEnd"/>
      <w:r>
        <w:rPr>
          <w:rFonts w:eastAsiaTheme="minorEastAsia"/>
        </w:rPr>
        <w:t xml:space="preserve">. </w:t>
      </w:r>
    </w:p>
    <w:p w:rsidR="007B60DE" w:rsidRDefault="007B60DE" w:rsidP="007B60DE">
      <w:pPr>
        <w:ind w:firstLine="708"/>
        <w:contextualSpacing/>
        <w:jc w:val="both"/>
        <w:rPr>
          <w:rFonts w:eastAsiaTheme="minorEastAsia"/>
        </w:rPr>
      </w:pPr>
      <w:r w:rsidRPr="00DB4A68">
        <w:rPr>
          <w:rFonts w:eastAsiaTheme="minorEastAsia"/>
        </w:rPr>
        <w:t xml:space="preserve">O estrato Capital é representado na </w:t>
      </w:r>
      <w:r w:rsidR="000F07C7">
        <w:rPr>
          <w:rFonts w:eastAsiaTheme="minorEastAsia"/>
        </w:rPr>
        <w:t>tabela abaixo:</w:t>
      </w:r>
    </w:p>
    <w:p w:rsidR="000F07C7" w:rsidRPr="00DB4A68" w:rsidRDefault="000F07C7" w:rsidP="007B60DE">
      <w:pPr>
        <w:ind w:firstLine="708"/>
        <w:contextualSpacing/>
        <w:jc w:val="both"/>
        <w:rPr>
          <w:rFonts w:eastAsiaTheme="minorEastAsia"/>
        </w:rPr>
      </w:pPr>
    </w:p>
    <w:tbl>
      <w:tblPr>
        <w:tblW w:w="8364" w:type="dxa"/>
        <w:tblInd w:w="70" w:type="dxa"/>
        <w:tblCellMar>
          <w:left w:w="70" w:type="dxa"/>
          <w:right w:w="70" w:type="dxa"/>
        </w:tblCellMar>
        <w:tblLook w:val="04A0" w:firstRow="1" w:lastRow="0" w:firstColumn="1" w:lastColumn="0" w:noHBand="0" w:noVBand="1"/>
      </w:tblPr>
      <w:tblGrid>
        <w:gridCol w:w="1266"/>
        <w:gridCol w:w="620"/>
        <w:gridCol w:w="620"/>
        <w:gridCol w:w="1180"/>
        <w:gridCol w:w="620"/>
        <w:gridCol w:w="620"/>
        <w:gridCol w:w="1201"/>
        <w:gridCol w:w="1134"/>
        <w:gridCol w:w="1276"/>
      </w:tblGrid>
      <w:tr w:rsidR="007B60DE" w:rsidRPr="00DB4A68" w:rsidTr="00A21C1D">
        <w:trPr>
          <w:trHeight w:val="300"/>
        </w:trPr>
        <w:tc>
          <w:tcPr>
            <w:tcW w:w="8364" w:type="dxa"/>
            <w:gridSpan w:val="9"/>
            <w:tcBorders>
              <w:top w:val="nil"/>
              <w:left w:val="nil"/>
              <w:bottom w:val="nil"/>
              <w:right w:val="nil"/>
            </w:tcBorders>
            <w:shd w:val="clear" w:color="auto" w:fill="auto"/>
            <w:noWrap/>
            <w:vAlign w:val="bottom"/>
            <w:hideMark/>
          </w:tcPr>
          <w:p w:rsidR="007B60DE" w:rsidRPr="00DB4A68" w:rsidRDefault="007B60DE" w:rsidP="007B60DE">
            <w:pPr>
              <w:spacing w:after="0" w:line="240" w:lineRule="auto"/>
              <w:contextualSpacing/>
              <w:rPr>
                <w:rFonts w:eastAsia="Times New Roman" w:cs="Times New Roman"/>
                <w:szCs w:val="24"/>
                <w:lang w:eastAsia="pt-BR"/>
              </w:rPr>
            </w:pPr>
            <w:r>
              <w:rPr>
                <w:rFonts w:eastAsia="Times New Roman" w:cs="Times New Roman"/>
                <w:b/>
                <w:szCs w:val="24"/>
                <w:lang w:eastAsia="pt-BR"/>
              </w:rPr>
              <w:t>Tabela 11</w:t>
            </w:r>
            <w:r w:rsidRPr="00DB4A68">
              <w:rPr>
                <w:rFonts w:eastAsia="Times New Roman" w:cs="Times New Roman"/>
                <w:szCs w:val="24"/>
                <w:lang w:eastAsia="pt-BR"/>
              </w:rPr>
              <w:t xml:space="preserve">. Comparação entre Variável teste e Variável hipótese para o estrato Capital </w:t>
            </w:r>
          </w:p>
        </w:tc>
      </w:tr>
      <w:tr w:rsidR="007B60DE" w:rsidRPr="00DB4A68" w:rsidTr="00A21C1D">
        <w:trPr>
          <w:trHeight w:val="300"/>
        </w:trPr>
        <w:tc>
          <w:tcPr>
            <w:tcW w:w="1266" w:type="dxa"/>
            <w:vMerge w:val="restart"/>
            <w:tcBorders>
              <w:top w:val="single" w:sz="4" w:space="0" w:color="auto"/>
              <w:left w:val="nil"/>
              <w:bottom w:val="single" w:sz="4" w:space="0" w:color="000000"/>
              <w:right w:val="nil"/>
            </w:tcBorders>
            <w:shd w:val="clear" w:color="auto" w:fill="auto"/>
            <w:vAlign w:val="center"/>
            <w:hideMark/>
          </w:tcPr>
          <w:p w:rsidR="007B60DE" w:rsidRPr="00DB4A68" w:rsidRDefault="007B60DE"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Quadro de Despesa</w:t>
            </w:r>
          </w:p>
        </w:tc>
        <w:tc>
          <w:tcPr>
            <w:tcW w:w="2420" w:type="dxa"/>
            <w:gridSpan w:val="3"/>
            <w:tcBorders>
              <w:top w:val="single" w:sz="4" w:space="0" w:color="auto"/>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Relação* - Pobres</w:t>
            </w:r>
          </w:p>
        </w:tc>
        <w:tc>
          <w:tcPr>
            <w:tcW w:w="2268" w:type="dxa"/>
            <w:gridSpan w:val="3"/>
            <w:tcBorders>
              <w:top w:val="single" w:sz="4" w:space="0" w:color="auto"/>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Relação* - Não Pobres</w:t>
            </w:r>
          </w:p>
        </w:tc>
        <w:tc>
          <w:tcPr>
            <w:tcW w:w="1134" w:type="dxa"/>
            <w:vMerge w:val="restart"/>
            <w:tcBorders>
              <w:top w:val="single" w:sz="4" w:space="0" w:color="auto"/>
              <w:left w:val="nil"/>
              <w:bottom w:val="single" w:sz="4" w:space="0" w:color="000000"/>
              <w:right w:val="nil"/>
            </w:tcBorders>
            <w:shd w:val="clear" w:color="auto" w:fill="auto"/>
            <w:vAlign w:val="center"/>
            <w:hideMark/>
          </w:tcPr>
          <w:p w:rsidR="007B60DE" w:rsidRPr="00DB4A68" w:rsidRDefault="007B60DE"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Variável Teste</w:t>
            </w:r>
          </w:p>
        </w:tc>
        <w:tc>
          <w:tcPr>
            <w:tcW w:w="1276" w:type="dxa"/>
            <w:vMerge w:val="restart"/>
            <w:tcBorders>
              <w:top w:val="single" w:sz="4" w:space="0" w:color="auto"/>
              <w:left w:val="nil"/>
              <w:bottom w:val="single" w:sz="4" w:space="0" w:color="000000"/>
              <w:right w:val="nil"/>
            </w:tcBorders>
            <w:shd w:val="clear" w:color="auto" w:fill="auto"/>
            <w:vAlign w:val="center"/>
            <w:hideMark/>
          </w:tcPr>
          <w:p w:rsidR="007B60DE" w:rsidRPr="00DB4A68" w:rsidRDefault="007B60DE"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Variável Hipótese</w:t>
            </w:r>
          </w:p>
        </w:tc>
      </w:tr>
      <w:tr w:rsidR="007B60DE" w:rsidRPr="00DB4A68" w:rsidTr="00A21C1D">
        <w:trPr>
          <w:trHeight w:val="300"/>
        </w:trPr>
        <w:tc>
          <w:tcPr>
            <w:tcW w:w="1266" w:type="dxa"/>
            <w:vMerge/>
            <w:tcBorders>
              <w:top w:val="single" w:sz="4" w:space="0" w:color="auto"/>
              <w:left w:val="nil"/>
              <w:bottom w:val="single" w:sz="4" w:space="0" w:color="000000"/>
              <w:right w:val="nil"/>
            </w:tcBorders>
            <w:vAlign w:val="center"/>
            <w:hideMark/>
          </w:tcPr>
          <w:p w:rsidR="007B60DE" w:rsidRPr="00DB4A68" w:rsidRDefault="007B60DE" w:rsidP="00A21C1D">
            <w:pPr>
              <w:spacing w:after="0" w:line="240" w:lineRule="auto"/>
              <w:contextualSpacing/>
              <w:rPr>
                <w:rFonts w:eastAsia="Times New Roman" w:cs="Times New Roman"/>
                <w:szCs w:val="24"/>
                <w:lang w:eastAsia="pt-BR"/>
              </w:rPr>
            </w:pPr>
          </w:p>
        </w:tc>
        <w:tc>
          <w:tcPr>
            <w:tcW w:w="620"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620"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180" w:type="dxa"/>
            <w:tcBorders>
              <w:top w:val="nil"/>
              <w:left w:val="nil"/>
              <w:bottom w:val="single" w:sz="4" w:space="0" w:color="auto"/>
              <w:right w:val="nil"/>
            </w:tcBorders>
            <w:shd w:val="clear" w:color="auto" w:fill="auto"/>
            <w:noWrap/>
            <w:vAlign w:val="center"/>
            <w:hideMark/>
          </w:tcPr>
          <w:p w:rsidR="007B60DE" w:rsidRPr="00DB4A68" w:rsidRDefault="007B60DE"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447"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620"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201" w:type="dxa"/>
            <w:tcBorders>
              <w:top w:val="nil"/>
              <w:left w:val="nil"/>
              <w:bottom w:val="single" w:sz="4" w:space="0" w:color="auto"/>
              <w:right w:val="nil"/>
            </w:tcBorders>
            <w:shd w:val="clear" w:color="auto" w:fill="auto"/>
            <w:noWrap/>
            <w:vAlign w:val="center"/>
            <w:hideMark/>
          </w:tcPr>
          <w:p w:rsidR="007B60DE" w:rsidRPr="00DB4A68" w:rsidRDefault="007B60DE"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1134" w:type="dxa"/>
            <w:vMerge/>
            <w:tcBorders>
              <w:top w:val="single" w:sz="4" w:space="0" w:color="auto"/>
              <w:left w:val="nil"/>
              <w:bottom w:val="single" w:sz="4" w:space="0" w:color="000000"/>
              <w:right w:val="nil"/>
            </w:tcBorders>
            <w:vAlign w:val="center"/>
            <w:hideMark/>
          </w:tcPr>
          <w:p w:rsidR="007B60DE" w:rsidRPr="00DB4A68" w:rsidRDefault="007B60DE" w:rsidP="00A21C1D">
            <w:pPr>
              <w:spacing w:after="0" w:line="240" w:lineRule="auto"/>
              <w:contextualSpacing/>
              <w:rPr>
                <w:rFonts w:eastAsia="Times New Roman" w:cs="Times New Roman"/>
                <w:szCs w:val="24"/>
                <w:lang w:eastAsia="pt-BR"/>
              </w:rPr>
            </w:pPr>
          </w:p>
        </w:tc>
        <w:tc>
          <w:tcPr>
            <w:tcW w:w="1276" w:type="dxa"/>
            <w:vMerge/>
            <w:tcBorders>
              <w:top w:val="single" w:sz="4" w:space="0" w:color="auto"/>
              <w:left w:val="nil"/>
              <w:bottom w:val="single" w:sz="4" w:space="0" w:color="000000"/>
              <w:right w:val="nil"/>
            </w:tcBorders>
            <w:vAlign w:val="center"/>
            <w:hideMark/>
          </w:tcPr>
          <w:p w:rsidR="007B60DE" w:rsidRPr="00DB4A68" w:rsidRDefault="007B60DE" w:rsidP="00A21C1D">
            <w:pPr>
              <w:spacing w:after="0" w:line="240" w:lineRule="auto"/>
              <w:contextualSpacing/>
              <w:rPr>
                <w:rFonts w:eastAsia="Times New Roman" w:cs="Times New Roman"/>
                <w:szCs w:val="24"/>
                <w:lang w:eastAsia="pt-BR"/>
              </w:rPr>
            </w:pPr>
          </w:p>
        </w:tc>
      </w:tr>
      <w:tr w:rsidR="007B60DE" w:rsidRPr="00DB4A68" w:rsidTr="00A21C1D">
        <w:trPr>
          <w:trHeight w:val="300"/>
        </w:trPr>
        <w:tc>
          <w:tcPr>
            <w:tcW w:w="126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90 dias</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18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447"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201"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
        </w:tc>
      </w:tr>
      <w:tr w:rsidR="007B60DE" w:rsidRPr="00DB4A68" w:rsidTr="00A21C1D">
        <w:trPr>
          <w:trHeight w:val="300"/>
        </w:trPr>
        <w:tc>
          <w:tcPr>
            <w:tcW w:w="1266" w:type="dxa"/>
            <w:tcBorders>
              <w:top w:val="nil"/>
              <w:left w:val="nil"/>
              <w:bottom w:val="nil"/>
              <w:right w:val="nil"/>
            </w:tcBorders>
            <w:shd w:val="clear" w:color="auto" w:fill="auto"/>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 xml:space="preserve"> </w:t>
            </w: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7</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0,89</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0,19</w:t>
            </w:r>
          </w:p>
        </w:tc>
        <w:tc>
          <w:tcPr>
            <w:tcW w:w="118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-0,70</w:t>
            </w:r>
          </w:p>
        </w:tc>
        <w:tc>
          <w:tcPr>
            <w:tcW w:w="447"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0,53</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0,04</w:t>
            </w:r>
          </w:p>
        </w:tc>
        <w:tc>
          <w:tcPr>
            <w:tcW w:w="1201"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-0,49</w:t>
            </w:r>
          </w:p>
        </w:tc>
        <w:tc>
          <w:tcPr>
            <w:tcW w:w="1134"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7B60DE" w:rsidRPr="00DB4A68" w:rsidTr="00A21C1D">
        <w:trPr>
          <w:trHeight w:val="300"/>
        </w:trPr>
        <w:tc>
          <w:tcPr>
            <w:tcW w:w="1266" w:type="dxa"/>
            <w:tcBorders>
              <w:top w:val="nil"/>
              <w:left w:val="nil"/>
              <w:bottom w:val="nil"/>
              <w:right w:val="nil"/>
            </w:tcBorders>
            <w:shd w:val="clear" w:color="auto" w:fill="auto"/>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8</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1,42</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0,95</w:t>
            </w:r>
          </w:p>
        </w:tc>
        <w:tc>
          <w:tcPr>
            <w:tcW w:w="118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-0,47</w:t>
            </w:r>
          </w:p>
        </w:tc>
        <w:tc>
          <w:tcPr>
            <w:tcW w:w="447"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1,07</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0,20</w:t>
            </w:r>
          </w:p>
        </w:tc>
        <w:tc>
          <w:tcPr>
            <w:tcW w:w="1201"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-0,87</w:t>
            </w:r>
          </w:p>
        </w:tc>
        <w:tc>
          <w:tcPr>
            <w:tcW w:w="1134"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c>
          <w:tcPr>
            <w:tcW w:w="127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7B60DE" w:rsidRPr="00DB4A68" w:rsidTr="00A21C1D">
        <w:trPr>
          <w:trHeight w:val="300"/>
        </w:trPr>
        <w:tc>
          <w:tcPr>
            <w:tcW w:w="1266" w:type="dxa"/>
            <w:tcBorders>
              <w:top w:val="nil"/>
              <w:left w:val="nil"/>
              <w:bottom w:val="nil"/>
              <w:right w:val="nil"/>
            </w:tcBorders>
            <w:shd w:val="clear" w:color="auto" w:fill="auto"/>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9</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0,54</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0,27</w:t>
            </w:r>
          </w:p>
        </w:tc>
        <w:tc>
          <w:tcPr>
            <w:tcW w:w="118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-0,27</w:t>
            </w:r>
          </w:p>
        </w:tc>
        <w:tc>
          <w:tcPr>
            <w:tcW w:w="447"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0,08</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0,05</w:t>
            </w:r>
          </w:p>
        </w:tc>
        <w:tc>
          <w:tcPr>
            <w:tcW w:w="1201"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-0,03</w:t>
            </w:r>
          </w:p>
        </w:tc>
        <w:tc>
          <w:tcPr>
            <w:tcW w:w="1134"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7B60DE" w:rsidRPr="00DB4A68" w:rsidTr="00A21C1D">
        <w:trPr>
          <w:trHeight w:val="300"/>
        </w:trPr>
        <w:tc>
          <w:tcPr>
            <w:tcW w:w="126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12 meses</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18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447"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201"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
        </w:tc>
      </w:tr>
      <w:tr w:rsidR="007B60DE" w:rsidRPr="00DB4A68" w:rsidTr="00A21C1D">
        <w:trPr>
          <w:trHeight w:val="300"/>
        </w:trPr>
        <w:tc>
          <w:tcPr>
            <w:tcW w:w="1266" w:type="dxa"/>
            <w:tcBorders>
              <w:top w:val="nil"/>
              <w:left w:val="nil"/>
              <w:bottom w:val="nil"/>
              <w:right w:val="nil"/>
            </w:tcBorders>
            <w:shd w:val="clear" w:color="auto" w:fill="auto"/>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10</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1,60</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0,80</w:t>
            </w:r>
          </w:p>
        </w:tc>
        <w:tc>
          <w:tcPr>
            <w:tcW w:w="118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-0,80</w:t>
            </w:r>
          </w:p>
        </w:tc>
        <w:tc>
          <w:tcPr>
            <w:tcW w:w="447"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1,16</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0,43</w:t>
            </w:r>
          </w:p>
        </w:tc>
        <w:tc>
          <w:tcPr>
            <w:tcW w:w="1201"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-0,73</w:t>
            </w:r>
          </w:p>
        </w:tc>
        <w:tc>
          <w:tcPr>
            <w:tcW w:w="1134"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7B60DE" w:rsidRPr="00DB4A68" w:rsidTr="00A21C1D">
        <w:trPr>
          <w:trHeight w:val="300"/>
        </w:trPr>
        <w:tc>
          <w:tcPr>
            <w:tcW w:w="126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Outras</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18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447"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201"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
        </w:tc>
      </w:tr>
      <w:tr w:rsidR="007B60DE" w:rsidRPr="00DB4A68" w:rsidTr="00A21C1D">
        <w:trPr>
          <w:trHeight w:val="300"/>
        </w:trPr>
        <w:tc>
          <w:tcPr>
            <w:tcW w:w="1266" w:type="dxa"/>
            <w:tcBorders>
              <w:top w:val="nil"/>
              <w:left w:val="nil"/>
              <w:bottom w:val="nil"/>
              <w:right w:val="nil"/>
            </w:tcBorders>
            <w:shd w:val="clear" w:color="auto" w:fill="auto"/>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16</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0,03</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0,09</w:t>
            </w:r>
          </w:p>
        </w:tc>
        <w:tc>
          <w:tcPr>
            <w:tcW w:w="118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0,06</w:t>
            </w:r>
          </w:p>
        </w:tc>
        <w:tc>
          <w:tcPr>
            <w:tcW w:w="447"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0,02</w:t>
            </w:r>
          </w:p>
        </w:tc>
        <w:tc>
          <w:tcPr>
            <w:tcW w:w="620"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0,02</w:t>
            </w:r>
          </w:p>
        </w:tc>
        <w:tc>
          <w:tcPr>
            <w:tcW w:w="1201"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0,00</w:t>
            </w:r>
          </w:p>
        </w:tc>
        <w:tc>
          <w:tcPr>
            <w:tcW w:w="1134"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c>
          <w:tcPr>
            <w:tcW w:w="127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7B60DE" w:rsidRPr="00DB4A68" w:rsidTr="00A21C1D">
        <w:trPr>
          <w:trHeight w:val="300"/>
        </w:trPr>
        <w:tc>
          <w:tcPr>
            <w:tcW w:w="1266" w:type="dxa"/>
            <w:tcBorders>
              <w:top w:val="nil"/>
              <w:left w:val="nil"/>
              <w:bottom w:val="single" w:sz="4" w:space="0" w:color="auto"/>
              <w:right w:val="nil"/>
            </w:tcBorders>
            <w:shd w:val="clear" w:color="auto" w:fill="auto"/>
            <w:vAlign w:val="bottom"/>
            <w:hideMark/>
          </w:tcPr>
          <w:p w:rsidR="007B60DE" w:rsidRPr="00DB4A68" w:rsidRDefault="007B60DE"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Veículos</w:t>
            </w:r>
          </w:p>
        </w:tc>
        <w:tc>
          <w:tcPr>
            <w:tcW w:w="620"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0,43</w:t>
            </w:r>
          </w:p>
        </w:tc>
        <w:tc>
          <w:tcPr>
            <w:tcW w:w="620"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1,40</w:t>
            </w:r>
          </w:p>
        </w:tc>
        <w:tc>
          <w:tcPr>
            <w:tcW w:w="1180"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0,97</w:t>
            </w:r>
          </w:p>
        </w:tc>
        <w:tc>
          <w:tcPr>
            <w:tcW w:w="447"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2,12</w:t>
            </w:r>
          </w:p>
        </w:tc>
        <w:tc>
          <w:tcPr>
            <w:tcW w:w="620"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2,30</w:t>
            </w:r>
          </w:p>
        </w:tc>
        <w:tc>
          <w:tcPr>
            <w:tcW w:w="1201"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0,18</w:t>
            </w:r>
          </w:p>
        </w:tc>
        <w:tc>
          <w:tcPr>
            <w:tcW w:w="1134"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c>
          <w:tcPr>
            <w:tcW w:w="1276" w:type="dxa"/>
            <w:tcBorders>
              <w:top w:val="nil"/>
              <w:left w:val="nil"/>
              <w:bottom w:val="single" w:sz="4" w:space="0" w:color="auto"/>
              <w:right w:val="nil"/>
            </w:tcBorders>
            <w:shd w:val="clear" w:color="auto" w:fill="auto"/>
            <w:noWrap/>
            <w:vAlign w:val="bottom"/>
            <w:hideMark/>
          </w:tcPr>
          <w:p w:rsidR="007B60DE" w:rsidRPr="00DB4A68" w:rsidRDefault="007B60DE"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7B60DE" w:rsidRPr="00DB4A68" w:rsidTr="00A21C1D">
        <w:trPr>
          <w:trHeight w:val="300"/>
        </w:trPr>
        <w:tc>
          <w:tcPr>
            <w:tcW w:w="5954" w:type="dxa"/>
            <w:gridSpan w:val="7"/>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r w:rsidRPr="00DB4A68">
              <w:rPr>
                <w:rFonts w:eastAsia="Times New Roman" w:cs="Times New Roman"/>
                <w:szCs w:val="24"/>
                <w:lang w:eastAsia="pt-BR"/>
              </w:rPr>
              <w:t>.</w:t>
            </w:r>
          </w:p>
        </w:tc>
        <w:tc>
          <w:tcPr>
            <w:tcW w:w="1134"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r>
      <w:tr w:rsidR="007B60DE" w:rsidRPr="00DB4A68" w:rsidTr="00A21C1D">
        <w:trPr>
          <w:trHeight w:val="300"/>
        </w:trPr>
        <w:tc>
          <w:tcPr>
            <w:tcW w:w="5954" w:type="dxa"/>
            <w:gridSpan w:val="7"/>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Relação: (</w:t>
            </w:r>
            <w:proofErr w:type="spellStart"/>
            <w:r w:rsidRPr="00DB4A68">
              <w:rPr>
                <w:rFonts w:eastAsia="Times New Roman" w:cs="Times New Roman"/>
                <w:szCs w:val="24"/>
                <w:lang w:eastAsia="pt-BR"/>
              </w:rPr>
              <w:t>Desp</w:t>
            </w:r>
            <w:proofErr w:type="spellEnd"/>
            <w:r w:rsidRPr="00DB4A68">
              <w:rPr>
                <w:rFonts w:eastAsia="Times New Roman" w:cs="Times New Roman"/>
                <w:szCs w:val="24"/>
                <w:lang w:eastAsia="pt-BR"/>
              </w:rPr>
              <w:t xml:space="preserve"> Item/Renda</w:t>
            </w:r>
            <w:proofErr w:type="gramStart"/>
            <w:r w:rsidRPr="00DB4A68">
              <w:rPr>
                <w:rFonts w:eastAsia="Times New Roman" w:cs="Times New Roman"/>
                <w:szCs w:val="24"/>
                <w:lang w:eastAsia="pt-BR"/>
              </w:rPr>
              <w:t>)</w:t>
            </w:r>
            <w:proofErr w:type="gramEnd"/>
            <w:r w:rsidRPr="00DB4A68">
              <w:rPr>
                <w:rFonts w:eastAsia="Times New Roman" w:cs="Times New Roman"/>
                <w:szCs w:val="24"/>
                <w:lang w:eastAsia="pt-BR"/>
              </w:rPr>
              <w:t>/(</w:t>
            </w:r>
            <w:proofErr w:type="spellStart"/>
            <w:r w:rsidRPr="00DB4A68">
              <w:rPr>
                <w:rFonts w:eastAsia="Times New Roman" w:cs="Times New Roman"/>
                <w:szCs w:val="24"/>
                <w:lang w:eastAsia="pt-BR"/>
              </w:rPr>
              <w:t>Desp</w:t>
            </w:r>
            <w:proofErr w:type="spellEnd"/>
            <w:r w:rsidRPr="00DB4A68">
              <w:rPr>
                <w:rFonts w:eastAsia="Times New Roman" w:cs="Times New Roman"/>
                <w:szCs w:val="24"/>
                <w:lang w:eastAsia="pt-BR"/>
              </w:rPr>
              <w:t xml:space="preserve"> Alimentação/Renda)</w:t>
            </w:r>
          </w:p>
        </w:tc>
        <w:tc>
          <w:tcPr>
            <w:tcW w:w="1134"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7B60DE" w:rsidRPr="00DB4A68" w:rsidRDefault="007B60DE" w:rsidP="00A21C1D">
            <w:pPr>
              <w:spacing w:after="0" w:line="240" w:lineRule="auto"/>
              <w:contextualSpacing/>
              <w:rPr>
                <w:rFonts w:eastAsia="Times New Roman" w:cs="Times New Roman"/>
                <w:szCs w:val="24"/>
                <w:lang w:eastAsia="pt-BR"/>
              </w:rPr>
            </w:pPr>
          </w:p>
        </w:tc>
      </w:tr>
    </w:tbl>
    <w:p w:rsidR="007B60DE" w:rsidRPr="007B60DE" w:rsidRDefault="007B60DE" w:rsidP="007B60DE">
      <w:pPr>
        <w:ind w:firstLine="708"/>
        <w:contextualSpacing/>
        <w:jc w:val="both"/>
      </w:pPr>
    </w:p>
    <w:p w:rsidR="0081136E" w:rsidRPr="00DB4A68" w:rsidRDefault="0081136E" w:rsidP="007B702C">
      <w:pPr>
        <w:contextualSpacing/>
        <w:jc w:val="both"/>
      </w:pPr>
    </w:p>
    <w:p w:rsidR="0081136E" w:rsidRPr="00DB4A68" w:rsidRDefault="0081136E" w:rsidP="007B702C">
      <w:pPr>
        <w:ind w:firstLine="708"/>
        <w:contextualSpacing/>
        <w:jc w:val="both"/>
      </w:pPr>
      <w:r w:rsidRPr="00DB4A68">
        <w:t xml:space="preserve">Nela percebe-se que seis grupos de despesas foram indicados como multa da pobreza segundo a análise de preços relativos. </w:t>
      </w:r>
      <w:r>
        <w:t>Porém</w:t>
      </w:r>
      <w:r w:rsidRPr="00DB4A68">
        <w:t xml:space="preserve">, ao se buscar confirmação com o teste da participação da despesa na renda, relacionada </w:t>
      </w:r>
      <w:proofErr w:type="gramStart"/>
      <w:r w:rsidRPr="00DB4A68">
        <w:t>a</w:t>
      </w:r>
      <w:proofErr w:type="gramEnd"/>
      <w:r w:rsidRPr="00DB4A68">
        <w:t xml:space="preserve"> alimentação, vê-se que três </w:t>
      </w:r>
      <w:r w:rsidRPr="00DB4A68">
        <w:lastRenderedPageBreak/>
        <w:t xml:space="preserve">desses grupos indicam multa também. Sendo assim, para esses três grupos de despesas a multa da pobreza é reafirmada e confirmada pelo teste. </w:t>
      </w:r>
    </w:p>
    <w:p w:rsidR="0081136E" w:rsidRPr="00DB4A68" w:rsidRDefault="007B60DE" w:rsidP="007B702C">
      <w:pPr>
        <w:ind w:firstLine="708"/>
        <w:contextualSpacing/>
        <w:jc w:val="both"/>
      </w:pPr>
      <w:r>
        <w:t>Dessa forma</w:t>
      </w:r>
      <w:r w:rsidR="0081136E" w:rsidRPr="00DB4A68">
        <w:t xml:space="preserve">, as despesas com conservação, manutenção e pequenos reparos com habitação, jazigo e jardinagem (quadro </w:t>
      </w:r>
      <w:proofErr w:type="gramStart"/>
      <w:r w:rsidR="0081136E" w:rsidRPr="00DB4A68">
        <w:t>8</w:t>
      </w:r>
      <w:proofErr w:type="gramEnd"/>
      <w:r w:rsidR="0081136E" w:rsidRPr="00DB4A68">
        <w:t>), as despesas com aquisição de ferramentas, animais domésticos, equipamentos musicais e de acampamento (quadro 16), e as despesas com veículos são os grupos de despesas, para o estrato capital, onde os pobres são prejudicados pela incidência da multa da pobreza.</w:t>
      </w:r>
    </w:p>
    <w:p w:rsidR="0081136E" w:rsidRDefault="000F07C7" w:rsidP="007B702C">
      <w:pPr>
        <w:ind w:firstLine="708"/>
        <w:contextualSpacing/>
        <w:jc w:val="both"/>
      </w:pPr>
      <w:r>
        <w:t>Em relação a</w:t>
      </w:r>
      <w:r w:rsidR="0081136E" w:rsidRPr="00DB4A68">
        <w:t>o estrato Rural</w:t>
      </w:r>
      <w:r>
        <w:t>, este</w:t>
      </w:r>
      <w:r w:rsidR="0081136E" w:rsidRPr="00DB4A68">
        <w:t xml:space="preserve"> apresentou também seis grupos de despesas com indícios de multa da pobreza. Com a comparação com a coluna da variável teste na tabela </w:t>
      </w:r>
      <w:r>
        <w:t>12</w:t>
      </w:r>
      <w:r w:rsidR="0081136E" w:rsidRPr="00DB4A68">
        <w:t xml:space="preserve">, percebe-se que, agora, houve quatro grupos onde se confirmaram a multa. Eles foram os mesmos três do estrato Capital (quadros </w:t>
      </w:r>
      <w:proofErr w:type="gramStart"/>
      <w:r w:rsidR="0081136E" w:rsidRPr="00DB4A68">
        <w:t>8</w:t>
      </w:r>
      <w:proofErr w:type="gramEnd"/>
      <w:r w:rsidR="0081136E" w:rsidRPr="00DB4A68">
        <w:t xml:space="preserve"> e 16 e despesas com veículos) mais o quadro 15, representando a aquisição de aparelhos, máquinas e outras utilidades domesticas. </w:t>
      </w:r>
    </w:p>
    <w:p w:rsidR="000F07C7" w:rsidRDefault="000F07C7" w:rsidP="007B702C">
      <w:pPr>
        <w:ind w:firstLine="708"/>
        <w:contextualSpacing/>
        <w:jc w:val="both"/>
      </w:pPr>
    </w:p>
    <w:tbl>
      <w:tblPr>
        <w:tblW w:w="8364" w:type="dxa"/>
        <w:tblInd w:w="70" w:type="dxa"/>
        <w:tblCellMar>
          <w:left w:w="70" w:type="dxa"/>
          <w:right w:w="70" w:type="dxa"/>
        </w:tblCellMar>
        <w:tblLook w:val="04A0" w:firstRow="1" w:lastRow="0" w:firstColumn="1" w:lastColumn="0" w:noHBand="0" w:noVBand="1"/>
      </w:tblPr>
      <w:tblGrid>
        <w:gridCol w:w="1218"/>
        <w:gridCol w:w="620"/>
        <w:gridCol w:w="620"/>
        <w:gridCol w:w="1007"/>
        <w:gridCol w:w="620"/>
        <w:gridCol w:w="735"/>
        <w:gridCol w:w="1134"/>
        <w:gridCol w:w="1134"/>
        <w:gridCol w:w="1276"/>
      </w:tblGrid>
      <w:tr w:rsidR="000F07C7" w:rsidRPr="00DB4A68" w:rsidTr="00A21C1D">
        <w:trPr>
          <w:trHeight w:val="300"/>
        </w:trPr>
        <w:tc>
          <w:tcPr>
            <w:tcW w:w="8364" w:type="dxa"/>
            <w:gridSpan w:val="9"/>
            <w:tcBorders>
              <w:top w:val="nil"/>
              <w:left w:val="nil"/>
              <w:bottom w:val="nil"/>
              <w:right w:val="nil"/>
            </w:tcBorders>
            <w:shd w:val="clear" w:color="auto" w:fill="auto"/>
            <w:noWrap/>
            <w:vAlign w:val="bottom"/>
            <w:hideMark/>
          </w:tcPr>
          <w:p w:rsidR="000F07C7" w:rsidRPr="00DB4A68" w:rsidRDefault="000F07C7" w:rsidP="000F07C7">
            <w:pPr>
              <w:spacing w:after="0" w:line="240" w:lineRule="auto"/>
              <w:contextualSpacing/>
              <w:rPr>
                <w:rFonts w:eastAsia="Times New Roman" w:cs="Times New Roman"/>
                <w:szCs w:val="24"/>
                <w:lang w:eastAsia="pt-BR"/>
              </w:rPr>
            </w:pPr>
            <w:r w:rsidRPr="00DB4A68">
              <w:rPr>
                <w:rFonts w:eastAsia="Times New Roman" w:cs="Times New Roman"/>
                <w:b/>
                <w:szCs w:val="24"/>
                <w:lang w:eastAsia="pt-BR"/>
              </w:rPr>
              <w:t xml:space="preserve">Tabela </w:t>
            </w:r>
            <w:r>
              <w:rPr>
                <w:rFonts w:eastAsia="Times New Roman" w:cs="Times New Roman"/>
                <w:b/>
                <w:szCs w:val="24"/>
                <w:lang w:eastAsia="pt-BR"/>
              </w:rPr>
              <w:t>12</w:t>
            </w:r>
            <w:r w:rsidRPr="00DB4A68">
              <w:rPr>
                <w:rFonts w:eastAsia="Times New Roman" w:cs="Times New Roman"/>
                <w:szCs w:val="24"/>
                <w:lang w:eastAsia="pt-BR"/>
              </w:rPr>
              <w:t xml:space="preserve">. Comparação entre Variável teste e Variável hipótese para o estrato Rural </w:t>
            </w:r>
          </w:p>
        </w:tc>
      </w:tr>
      <w:tr w:rsidR="000F07C7" w:rsidRPr="00DB4A68" w:rsidTr="00A21C1D">
        <w:trPr>
          <w:trHeight w:val="300"/>
        </w:trPr>
        <w:tc>
          <w:tcPr>
            <w:tcW w:w="1218" w:type="dxa"/>
            <w:vMerge w:val="restart"/>
            <w:tcBorders>
              <w:top w:val="single" w:sz="4" w:space="0" w:color="auto"/>
              <w:left w:val="nil"/>
              <w:bottom w:val="single" w:sz="4" w:space="0" w:color="000000"/>
              <w:right w:val="nil"/>
            </w:tcBorders>
            <w:shd w:val="clear" w:color="auto" w:fill="auto"/>
            <w:vAlign w:val="center"/>
            <w:hideMark/>
          </w:tcPr>
          <w:p w:rsidR="000F07C7" w:rsidRPr="00DB4A68" w:rsidRDefault="000F07C7"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Quadro de Despesa</w:t>
            </w:r>
          </w:p>
        </w:tc>
        <w:tc>
          <w:tcPr>
            <w:tcW w:w="2247" w:type="dxa"/>
            <w:gridSpan w:val="3"/>
            <w:tcBorders>
              <w:top w:val="single" w:sz="4" w:space="0" w:color="auto"/>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Relação* - Pobres</w:t>
            </w:r>
          </w:p>
        </w:tc>
        <w:tc>
          <w:tcPr>
            <w:tcW w:w="2489" w:type="dxa"/>
            <w:gridSpan w:val="3"/>
            <w:tcBorders>
              <w:top w:val="single" w:sz="4" w:space="0" w:color="auto"/>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Relação* - Não Pobres</w:t>
            </w:r>
          </w:p>
        </w:tc>
        <w:tc>
          <w:tcPr>
            <w:tcW w:w="1134" w:type="dxa"/>
            <w:vMerge w:val="restart"/>
            <w:tcBorders>
              <w:top w:val="single" w:sz="4" w:space="0" w:color="auto"/>
              <w:left w:val="nil"/>
              <w:bottom w:val="single" w:sz="4" w:space="0" w:color="000000"/>
              <w:right w:val="nil"/>
            </w:tcBorders>
            <w:shd w:val="clear" w:color="auto" w:fill="auto"/>
            <w:vAlign w:val="center"/>
            <w:hideMark/>
          </w:tcPr>
          <w:p w:rsidR="000F07C7" w:rsidRPr="00DB4A68" w:rsidRDefault="000F07C7"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Variável Teste</w:t>
            </w:r>
          </w:p>
        </w:tc>
        <w:tc>
          <w:tcPr>
            <w:tcW w:w="1276" w:type="dxa"/>
            <w:vMerge w:val="restart"/>
            <w:tcBorders>
              <w:top w:val="single" w:sz="4" w:space="0" w:color="auto"/>
              <w:left w:val="nil"/>
              <w:bottom w:val="single" w:sz="4" w:space="0" w:color="000000"/>
              <w:right w:val="nil"/>
            </w:tcBorders>
            <w:shd w:val="clear" w:color="auto" w:fill="auto"/>
            <w:vAlign w:val="center"/>
            <w:hideMark/>
          </w:tcPr>
          <w:p w:rsidR="000F07C7" w:rsidRPr="00DB4A68" w:rsidRDefault="000F07C7"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Variável Hipótese</w:t>
            </w:r>
          </w:p>
        </w:tc>
      </w:tr>
      <w:tr w:rsidR="000F07C7" w:rsidRPr="00DB4A68" w:rsidTr="00A21C1D">
        <w:trPr>
          <w:trHeight w:val="300"/>
        </w:trPr>
        <w:tc>
          <w:tcPr>
            <w:tcW w:w="1218" w:type="dxa"/>
            <w:vMerge/>
            <w:tcBorders>
              <w:top w:val="single" w:sz="4" w:space="0" w:color="auto"/>
              <w:left w:val="nil"/>
              <w:bottom w:val="single" w:sz="4" w:space="0" w:color="000000"/>
              <w:right w:val="nil"/>
            </w:tcBorders>
            <w:vAlign w:val="center"/>
            <w:hideMark/>
          </w:tcPr>
          <w:p w:rsidR="000F07C7" w:rsidRPr="00DB4A68" w:rsidRDefault="000F07C7" w:rsidP="00A21C1D">
            <w:pPr>
              <w:spacing w:after="0" w:line="240" w:lineRule="auto"/>
              <w:contextualSpacing/>
              <w:rPr>
                <w:rFonts w:eastAsia="Times New Roman" w:cs="Times New Roman"/>
                <w:szCs w:val="24"/>
                <w:lang w:eastAsia="pt-BR"/>
              </w:rPr>
            </w:pPr>
          </w:p>
        </w:tc>
        <w:tc>
          <w:tcPr>
            <w:tcW w:w="620"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620"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007" w:type="dxa"/>
            <w:tcBorders>
              <w:top w:val="nil"/>
              <w:left w:val="nil"/>
              <w:bottom w:val="single" w:sz="4" w:space="0" w:color="auto"/>
              <w:right w:val="nil"/>
            </w:tcBorders>
            <w:shd w:val="clear" w:color="auto" w:fill="auto"/>
            <w:noWrap/>
            <w:vAlign w:val="center"/>
            <w:hideMark/>
          </w:tcPr>
          <w:p w:rsidR="000F07C7" w:rsidRPr="00DB4A68" w:rsidRDefault="000F07C7"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620"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735"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134" w:type="dxa"/>
            <w:tcBorders>
              <w:top w:val="nil"/>
              <w:left w:val="nil"/>
              <w:bottom w:val="single" w:sz="4" w:space="0" w:color="auto"/>
              <w:right w:val="nil"/>
            </w:tcBorders>
            <w:shd w:val="clear" w:color="auto" w:fill="auto"/>
            <w:noWrap/>
            <w:vAlign w:val="center"/>
            <w:hideMark/>
          </w:tcPr>
          <w:p w:rsidR="000F07C7" w:rsidRPr="00DB4A68" w:rsidRDefault="000F07C7"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1134" w:type="dxa"/>
            <w:vMerge/>
            <w:tcBorders>
              <w:top w:val="single" w:sz="4" w:space="0" w:color="auto"/>
              <w:left w:val="nil"/>
              <w:bottom w:val="single" w:sz="4" w:space="0" w:color="000000"/>
              <w:right w:val="nil"/>
            </w:tcBorders>
            <w:vAlign w:val="center"/>
            <w:hideMark/>
          </w:tcPr>
          <w:p w:rsidR="000F07C7" w:rsidRPr="00DB4A68" w:rsidRDefault="000F07C7" w:rsidP="00A21C1D">
            <w:pPr>
              <w:spacing w:after="0" w:line="240" w:lineRule="auto"/>
              <w:contextualSpacing/>
              <w:rPr>
                <w:rFonts w:eastAsia="Times New Roman" w:cs="Times New Roman"/>
                <w:szCs w:val="24"/>
                <w:lang w:eastAsia="pt-BR"/>
              </w:rPr>
            </w:pPr>
          </w:p>
        </w:tc>
        <w:tc>
          <w:tcPr>
            <w:tcW w:w="1276" w:type="dxa"/>
            <w:vMerge/>
            <w:tcBorders>
              <w:top w:val="single" w:sz="4" w:space="0" w:color="auto"/>
              <w:left w:val="nil"/>
              <w:bottom w:val="single" w:sz="4" w:space="0" w:color="000000"/>
              <w:right w:val="nil"/>
            </w:tcBorders>
            <w:vAlign w:val="center"/>
            <w:hideMark/>
          </w:tcPr>
          <w:p w:rsidR="000F07C7" w:rsidRPr="00DB4A68" w:rsidRDefault="000F07C7" w:rsidP="00A21C1D">
            <w:pPr>
              <w:spacing w:after="0" w:line="240" w:lineRule="auto"/>
              <w:contextualSpacing/>
              <w:rPr>
                <w:rFonts w:eastAsia="Times New Roman" w:cs="Times New Roman"/>
                <w:szCs w:val="24"/>
                <w:lang w:eastAsia="pt-BR"/>
              </w:rPr>
            </w:pPr>
          </w:p>
        </w:tc>
      </w:tr>
      <w:tr w:rsidR="000F07C7" w:rsidRPr="00DB4A68" w:rsidTr="00A21C1D">
        <w:trPr>
          <w:trHeight w:val="300"/>
        </w:trPr>
        <w:tc>
          <w:tcPr>
            <w:tcW w:w="1218"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90 dias</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007"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735"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
        </w:tc>
      </w:tr>
      <w:tr w:rsidR="000F07C7" w:rsidRPr="00DB4A68" w:rsidTr="00A21C1D">
        <w:trPr>
          <w:trHeight w:val="300"/>
        </w:trPr>
        <w:tc>
          <w:tcPr>
            <w:tcW w:w="1218" w:type="dxa"/>
            <w:tcBorders>
              <w:top w:val="nil"/>
              <w:left w:val="nil"/>
              <w:bottom w:val="nil"/>
              <w:right w:val="nil"/>
            </w:tcBorders>
            <w:shd w:val="clear" w:color="auto" w:fill="auto"/>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 xml:space="preserve"> </w:t>
            </w: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7</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0,34</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0,13</w:t>
            </w:r>
          </w:p>
        </w:tc>
        <w:tc>
          <w:tcPr>
            <w:tcW w:w="1007"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-0,21</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0,13</w:t>
            </w:r>
          </w:p>
        </w:tc>
        <w:tc>
          <w:tcPr>
            <w:tcW w:w="735"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0,05</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-0,08</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0F07C7" w:rsidRPr="00DB4A68" w:rsidTr="00A21C1D">
        <w:trPr>
          <w:trHeight w:val="300"/>
        </w:trPr>
        <w:tc>
          <w:tcPr>
            <w:tcW w:w="1218" w:type="dxa"/>
            <w:tcBorders>
              <w:top w:val="nil"/>
              <w:left w:val="nil"/>
              <w:bottom w:val="nil"/>
              <w:right w:val="nil"/>
            </w:tcBorders>
            <w:shd w:val="clear" w:color="auto" w:fill="auto"/>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8</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0,33</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0,47</w:t>
            </w:r>
          </w:p>
        </w:tc>
        <w:tc>
          <w:tcPr>
            <w:tcW w:w="1007"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0,14</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0,21</w:t>
            </w:r>
          </w:p>
        </w:tc>
        <w:tc>
          <w:tcPr>
            <w:tcW w:w="735"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0,13</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-0,08</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c>
          <w:tcPr>
            <w:tcW w:w="1276"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0F07C7" w:rsidRPr="00DB4A68" w:rsidTr="00A21C1D">
        <w:trPr>
          <w:trHeight w:val="300"/>
        </w:trPr>
        <w:tc>
          <w:tcPr>
            <w:tcW w:w="1218"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Outras</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007"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735"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
        </w:tc>
      </w:tr>
      <w:tr w:rsidR="000F07C7" w:rsidRPr="00DB4A68" w:rsidTr="00A21C1D">
        <w:trPr>
          <w:trHeight w:val="300"/>
        </w:trPr>
        <w:tc>
          <w:tcPr>
            <w:tcW w:w="1218" w:type="dxa"/>
            <w:tcBorders>
              <w:top w:val="nil"/>
              <w:left w:val="nil"/>
              <w:bottom w:val="nil"/>
              <w:right w:val="nil"/>
            </w:tcBorders>
            <w:shd w:val="clear" w:color="auto" w:fill="auto"/>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15</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0,13</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0,21</w:t>
            </w:r>
          </w:p>
        </w:tc>
        <w:tc>
          <w:tcPr>
            <w:tcW w:w="1007"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0,08</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0,09</w:t>
            </w:r>
          </w:p>
        </w:tc>
        <w:tc>
          <w:tcPr>
            <w:tcW w:w="735"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0,07</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-0,02</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c>
          <w:tcPr>
            <w:tcW w:w="1276"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0F07C7" w:rsidRPr="00DB4A68" w:rsidTr="00A21C1D">
        <w:trPr>
          <w:trHeight w:val="300"/>
        </w:trPr>
        <w:tc>
          <w:tcPr>
            <w:tcW w:w="1218" w:type="dxa"/>
            <w:tcBorders>
              <w:top w:val="nil"/>
              <w:left w:val="nil"/>
              <w:bottom w:val="nil"/>
              <w:right w:val="nil"/>
            </w:tcBorders>
            <w:shd w:val="clear" w:color="auto" w:fill="auto"/>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16</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0,01</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0,02</w:t>
            </w:r>
          </w:p>
        </w:tc>
        <w:tc>
          <w:tcPr>
            <w:tcW w:w="1007"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0,01</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0,01</w:t>
            </w:r>
          </w:p>
        </w:tc>
        <w:tc>
          <w:tcPr>
            <w:tcW w:w="735"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0,02</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0,01</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c>
          <w:tcPr>
            <w:tcW w:w="1276"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0F07C7" w:rsidRPr="00DB4A68" w:rsidTr="00A21C1D">
        <w:trPr>
          <w:trHeight w:val="300"/>
        </w:trPr>
        <w:tc>
          <w:tcPr>
            <w:tcW w:w="1218"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Saúde</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007"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735"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
        </w:tc>
      </w:tr>
      <w:tr w:rsidR="000F07C7" w:rsidRPr="00DB4A68" w:rsidTr="00A21C1D">
        <w:trPr>
          <w:trHeight w:val="300"/>
        </w:trPr>
        <w:tc>
          <w:tcPr>
            <w:tcW w:w="1218" w:type="dxa"/>
            <w:tcBorders>
              <w:top w:val="nil"/>
              <w:left w:val="nil"/>
              <w:bottom w:val="nil"/>
              <w:right w:val="nil"/>
            </w:tcBorders>
            <w:shd w:val="clear" w:color="auto" w:fill="auto"/>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42</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0,96</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0,39</w:t>
            </w:r>
          </w:p>
        </w:tc>
        <w:tc>
          <w:tcPr>
            <w:tcW w:w="1007"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-0,57</w:t>
            </w:r>
          </w:p>
        </w:tc>
        <w:tc>
          <w:tcPr>
            <w:tcW w:w="620"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0,33</w:t>
            </w:r>
          </w:p>
        </w:tc>
        <w:tc>
          <w:tcPr>
            <w:tcW w:w="735"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0,19</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-0,14</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0F07C7" w:rsidRPr="00DB4A68" w:rsidTr="00A21C1D">
        <w:trPr>
          <w:trHeight w:val="300"/>
        </w:trPr>
        <w:tc>
          <w:tcPr>
            <w:tcW w:w="1218" w:type="dxa"/>
            <w:tcBorders>
              <w:top w:val="nil"/>
              <w:left w:val="nil"/>
              <w:bottom w:val="single" w:sz="4" w:space="0" w:color="auto"/>
              <w:right w:val="nil"/>
            </w:tcBorders>
            <w:shd w:val="clear" w:color="auto" w:fill="auto"/>
            <w:vAlign w:val="bottom"/>
            <w:hideMark/>
          </w:tcPr>
          <w:p w:rsidR="000F07C7" w:rsidRPr="00DB4A68" w:rsidRDefault="000F07C7"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Veículos</w:t>
            </w:r>
          </w:p>
        </w:tc>
        <w:tc>
          <w:tcPr>
            <w:tcW w:w="620"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0,05</w:t>
            </w:r>
          </w:p>
        </w:tc>
        <w:tc>
          <w:tcPr>
            <w:tcW w:w="620"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2,27</w:t>
            </w:r>
          </w:p>
        </w:tc>
        <w:tc>
          <w:tcPr>
            <w:tcW w:w="1007"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2,22</w:t>
            </w:r>
          </w:p>
        </w:tc>
        <w:tc>
          <w:tcPr>
            <w:tcW w:w="620"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0,26</w:t>
            </w:r>
          </w:p>
        </w:tc>
        <w:tc>
          <w:tcPr>
            <w:tcW w:w="735"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1,94</w:t>
            </w:r>
          </w:p>
        </w:tc>
        <w:tc>
          <w:tcPr>
            <w:tcW w:w="1134"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1,68</w:t>
            </w:r>
          </w:p>
        </w:tc>
        <w:tc>
          <w:tcPr>
            <w:tcW w:w="1134"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c>
          <w:tcPr>
            <w:tcW w:w="1276" w:type="dxa"/>
            <w:tcBorders>
              <w:top w:val="nil"/>
              <w:left w:val="nil"/>
              <w:bottom w:val="single" w:sz="4" w:space="0" w:color="auto"/>
              <w:right w:val="nil"/>
            </w:tcBorders>
            <w:shd w:val="clear" w:color="auto" w:fill="auto"/>
            <w:noWrap/>
            <w:vAlign w:val="bottom"/>
            <w:hideMark/>
          </w:tcPr>
          <w:p w:rsidR="000F07C7" w:rsidRPr="00DB4A68" w:rsidRDefault="000F07C7"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0F07C7" w:rsidRPr="00DB4A68" w:rsidTr="00A21C1D">
        <w:trPr>
          <w:trHeight w:val="300"/>
        </w:trPr>
        <w:tc>
          <w:tcPr>
            <w:tcW w:w="5954" w:type="dxa"/>
            <w:gridSpan w:val="7"/>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r w:rsidRPr="00DB4A68">
              <w:rPr>
                <w:rFonts w:eastAsia="Times New Roman" w:cs="Times New Roman"/>
                <w:szCs w:val="24"/>
                <w:lang w:eastAsia="pt-BR"/>
              </w:rPr>
              <w:t>.</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r>
      <w:tr w:rsidR="000F07C7" w:rsidRPr="00DB4A68" w:rsidTr="00A21C1D">
        <w:trPr>
          <w:trHeight w:val="300"/>
        </w:trPr>
        <w:tc>
          <w:tcPr>
            <w:tcW w:w="5954" w:type="dxa"/>
            <w:gridSpan w:val="7"/>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Relação: (</w:t>
            </w:r>
            <w:proofErr w:type="spellStart"/>
            <w:r w:rsidRPr="00DB4A68">
              <w:rPr>
                <w:rFonts w:eastAsia="Times New Roman" w:cs="Times New Roman"/>
                <w:szCs w:val="24"/>
                <w:lang w:eastAsia="pt-BR"/>
              </w:rPr>
              <w:t>Desp</w:t>
            </w:r>
            <w:proofErr w:type="spellEnd"/>
            <w:r w:rsidRPr="00DB4A68">
              <w:rPr>
                <w:rFonts w:eastAsia="Times New Roman" w:cs="Times New Roman"/>
                <w:szCs w:val="24"/>
                <w:lang w:eastAsia="pt-BR"/>
              </w:rPr>
              <w:t xml:space="preserve"> Item/Renda</w:t>
            </w:r>
            <w:proofErr w:type="gramStart"/>
            <w:r w:rsidRPr="00DB4A68">
              <w:rPr>
                <w:rFonts w:eastAsia="Times New Roman" w:cs="Times New Roman"/>
                <w:szCs w:val="24"/>
                <w:lang w:eastAsia="pt-BR"/>
              </w:rPr>
              <w:t>)</w:t>
            </w:r>
            <w:proofErr w:type="gramEnd"/>
            <w:r w:rsidRPr="00DB4A68">
              <w:rPr>
                <w:rFonts w:eastAsia="Times New Roman" w:cs="Times New Roman"/>
                <w:szCs w:val="24"/>
                <w:lang w:eastAsia="pt-BR"/>
              </w:rPr>
              <w:t>/(</w:t>
            </w:r>
            <w:proofErr w:type="spellStart"/>
            <w:r w:rsidRPr="00DB4A68">
              <w:rPr>
                <w:rFonts w:eastAsia="Times New Roman" w:cs="Times New Roman"/>
                <w:szCs w:val="24"/>
                <w:lang w:eastAsia="pt-BR"/>
              </w:rPr>
              <w:t>Desp</w:t>
            </w:r>
            <w:proofErr w:type="spellEnd"/>
            <w:r w:rsidRPr="00DB4A68">
              <w:rPr>
                <w:rFonts w:eastAsia="Times New Roman" w:cs="Times New Roman"/>
                <w:szCs w:val="24"/>
                <w:lang w:eastAsia="pt-BR"/>
              </w:rPr>
              <w:t xml:space="preserve"> Alimentação/Renda)</w:t>
            </w:r>
          </w:p>
        </w:tc>
        <w:tc>
          <w:tcPr>
            <w:tcW w:w="1134"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0F07C7" w:rsidRPr="00DB4A68" w:rsidRDefault="000F07C7" w:rsidP="00A21C1D">
            <w:pPr>
              <w:spacing w:after="0" w:line="240" w:lineRule="auto"/>
              <w:contextualSpacing/>
              <w:rPr>
                <w:rFonts w:eastAsia="Times New Roman" w:cs="Times New Roman"/>
                <w:szCs w:val="24"/>
                <w:lang w:eastAsia="pt-BR"/>
              </w:rPr>
            </w:pPr>
          </w:p>
        </w:tc>
      </w:tr>
    </w:tbl>
    <w:p w:rsidR="000F07C7" w:rsidRDefault="000F07C7" w:rsidP="007B702C">
      <w:pPr>
        <w:ind w:firstLine="708"/>
        <w:contextualSpacing/>
        <w:jc w:val="both"/>
      </w:pPr>
    </w:p>
    <w:p w:rsidR="0081136E" w:rsidRPr="00DB4A68" w:rsidRDefault="0081136E" w:rsidP="007B702C">
      <w:pPr>
        <w:contextualSpacing/>
        <w:jc w:val="both"/>
      </w:pPr>
    </w:p>
    <w:p w:rsidR="0081136E" w:rsidRDefault="000F07C7" w:rsidP="007B702C">
      <w:pPr>
        <w:ind w:firstLine="708"/>
        <w:contextualSpacing/>
        <w:jc w:val="both"/>
      </w:pPr>
      <w:r>
        <w:t>O</w:t>
      </w:r>
      <w:r w:rsidR="0081136E" w:rsidRPr="00DB4A68">
        <w:t xml:space="preserve"> estrato Urbano </w:t>
      </w:r>
      <w:r>
        <w:t>por sua vez</w:t>
      </w:r>
      <w:r w:rsidR="0081136E" w:rsidRPr="00DB4A68">
        <w:t xml:space="preserve"> apresentou a maior quantidade de grupos indicando multa da pobreza: os oito grupos indicados na tabela abaixo. </w:t>
      </w:r>
      <w:r w:rsidR="0081136E">
        <w:t>Porém</w:t>
      </w:r>
      <w:r w:rsidR="0081136E" w:rsidRPr="00DB4A68">
        <w:t xml:space="preserve">, ao se realizar a análise baseada na variável teste, de acordo com a tabela </w:t>
      </w:r>
      <w:r>
        <w:t>13</w:t>
      </w:r>
      <w:r w:rsidR="0081136E" w:rsidRPr="00DB4A68">
        <w:t xml:space="preserve">, somente dois grupos se confirmam como ocorrência de multa da pobreza, que é a despesas de </w:t>
      </w:r>
      <w:proofErr w:type="gramStart"/>
      <w:r w:rsidR="0081136E" w:rsidRPr="00DB4A68">
        <w:t>7</w:t>
      </w:r>
      <w:proofErr w:type="gramEnd"/>
      <w:r w:rsidR="0081136E" w:rsidRPr="00DB4A68">
        <w:t xml:space="preserve"> dias e despesas com alugueis, impostos e outras taxas de domicílio</w:t>
      </w:r>
      <w:r w:rsidR="0081136E">
        <w:t xml:space="preserve"> (quadro 10). </w:t>
      </w:r>
    </w:p>
    <w:p w:rsidR="00B422A5" w:rsidRDefault="00B422A5" w:rsidP="007B702C">
      <w:pPr>
        <w:ind w:firstLine="708"/>
        <w:contextualSpacing/>
        <w:jc w:val="both"/>
      </w:pPr>
    </w:p>
    <w:tbl>
      <w:tblPr>
        <w:tblW w:w="8364" w:type="dxa"/>
        <w:tblInd w:w="70" w:type="dxa"/>
        <w:tblCellMar>
          <w:left w:w="70" w:type="dxa"/>
          <w:right w:w="70" w:type="dxa"/>
        </w:tblCellMar>
        <w:tblLook w:val="04A0" w:firstRow="1" w:lastRow="0" w:firstColumn="1" w:lastColumn="0" w:noHBand="0" w:noVBand="1"/>
      </w:tblPr>
      <w:tblGrid>
        <w:gridCol w:w="1266"/>
        <w:gridCol w:w="620"/>
        <w:gridCol w:w="620"/>
        <w:gridCol w:w="1007"/>
        <w:gridCol w:w="620"/>
        <w:gridCol w:w="687"/>
        <w:gridCol w:w="1134"/>
        <w:gridCol w:w="1134"/>
        <w:gridCol w:w="1276"/>
      </w:tblGrid>
      <w:tr w:rsidR="00B422A5" w:rsidRPr="00DB4A68" w:rsidTr="00A21C1D">
        <w:trPr>
          <w:trHeight w:val="300"/>
        </w:trPr>
        <w:tc>
          <w:tcPr>
            <w:tcW w:w="8364" w:type="dxa"/>
            <w:gridSpan w:val="9"/>
            <w:tcBorders>
              <w:top w:val="nil"/>
              <w:left w:val="nil"/>
              <w:bottom w:val="nil"/>
              <w:right w:val="nil"/>
            </w:tcBorders>
            <w:shd w:val="clear" w:color="auto" w:fill="auto"/>
            <w:noWrap/>
            <w:vAlign w:val="bottom"/>
            <w:hideMark/>
          </w:tcPr>
          <w:p w:rsidR="00B422A5" w:rsidRPr="00DB4A68" w:rsidRDefault="00B422A5" w:rsidP="00B422A5">
            <w:pPr>
              <w:spacing w:after="0" w:line="240" w:lineRule="auto"/>
              <w:contextualSpacing/>
              <w:rPr>
                <w:rFonts w:eastAsia="Times New Roman" w:cs="Times New Roman"/>
                <w:szCs w:val="24"/>
                <w:lang w:eastAsia="pt-BR"/>
              </w:rPr>
            </w:pPr>
            <w:r w:rsidRPr="00DB4A68">
              <w:rPr>
                <w:rFonts w:eastAsia="Times New Roman" w:cs="Times New Roman"/>
                <w:b/>
                <w:szCs w:val="24"/>
                <w:lang w:eastAsia="pt-BR"/>
              </w:rPr>
              <w:t xml:space="preserve">Tabela </w:t>
            </w:r>
            <w:r>
              <w:rPr>
                <w:rFonts w:eastAsia="Times New Roman" w:cs="Times New Roman"/>
                <w:b/>
                <w:szCs w:val="24"/>
                <w:lang w:eastAsia="pt-BR"/>
              </w:rPr>
              <w:t>13</w:t>
            </w:r>
            <w:r w:rsidRPr="00DB4A68">
              <w:rPr>
                <w:rFonts w:eastAsia="Times New Roman" w:cs="Times New Roman"/>
                <w:szCs w:val="24"/>
                <w:lang w:eastAsia="pt-BR"/>
              </w:rPr>
              <w:t xml:space="preserve">. Comparação entre Variável teste e Variável hipótese para o estrato Urbano </w:t>
            </w:r>
          </w:p>
        </w:tc>
      </w:tr>
      <w:tr w:rsidR="00B422A5" w:rsidRPr="00DB4A68" w:rsidTr="00A21C1D">
        <w:trPr>
          <w:trHeight w:val="300"/>
        </w:trPr>
        <w:tc>
          <w:tcPr>
            <w:tcW w:w="1266" w:type="dxa"/>
            <w:vMerge w:val="restart"/>
            <w:tcBorders>
              <w:top w:val="single" w:sz="4" w:space="0" w:color="auto"/>
              <w:left w:val="nil"/>
              <w:bottom w:val="single" w:sz="4" w:space="0" w:color="000000"/>
              <w:right w:val="nil"/>
            </w:tcBorders>
            <w:shd w:val="clear" w:color="auto" w:fill="auto"/>
            <w:vAlign w:val="center"/>
            <w:hideMark/>
          </w:tcPr>
          <w:p w:rsidR="00B422A5" w:rsidRPr="00DB4A68" w:rsidRDefault="00B422A5"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lastRenderedPageBreak/>
              <w:t>Quadro de Despesa</w:t>
            </w:r>
          </w:p>
        </w:tc>
        <w:tc>
          <w:tcPr>
            <w:tcW w:w="2247" w:type="dxa"/>
            <w:gridSpan w:val="3"/>
            <w:tcBorders>
              <w:top w:val="single" w:sz="4" w:space="0" w:color="auto"/>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Relação* - Pobres</w:t>
            </w:r>
          </w:p>
        </w:tc>
        <w:tc>
          <w:tcPr>
            <w:tcW w:w="2441" w:type="dxa"/>
            <w:gridSpan w:val="3"/>
            <w:tcBorders>
              <w:top w:val="single" w:sz="4" w:space="0" w:color="auto"/>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Relação* - Não Pobres</w:t>
            </w:r>
          </w:p>
        </w:tc>
        <w:tc>
          <w:tcPr>
            <w:tcW w:w="1134" w:type="dxa"/>
            <w:vMerge w:val="restart"/>
            <w:tcBorders>
              <w:top w:val="single" w:sz="4" w:space="0" w:color="auto"/>
              <w:left w:val="nil"/>
              <w:bottom w:val="single" w:sz="4" w:space="0" w:color="000000"/>
              <w:right w:val="nil"/>
            </w:tcBorders>
            <w:shd w:val="clear" w:color="auto" w:fill="auto"/>
            <w:vAlign w:val="center"/>
            <w:hideMark/>
          </w:tcPr>
          <w:p w:rsidR="00B422A5" w:rsidRPr="00DB4A68" w:rsidRDefault="00B422A5"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Variável Teste</w:t>
            </w:r>
          </w:p>
        </w:tc>
        <w:tc>
          <w:tcPr>
            <w:tcW w:w="1276" w:type="dxa"/>
            <w:vMerge w:val="restart"/>
            <w:tcBorders>
              <w:top w:val="single" w:sz="4" w:space="0" w:color="auto"/>
              <w:left w:val="nil"/>
              <w:bottom w:val="single" w:sz="4" w:space="0" w:color="000000"/>
              <w:right w:val="nil"/>
            </w:tcBorders>
            <w:shd w:val="clear" w:color="auto" w:fill="auto"/>
            <w:vAlign w:val="center"/>
            <w:hideMark/>
          </w:tcPr>
          <w:p w:rsidR="00B422A5" w:rsidRPr="00DB4A68" w:rsidRDefault="00B422A5" w:rsidP="00A21C1D">
            <w:pPr>
              <w:spacing w:after="0" w:line="240" w:lineRule="auto"/>
              <w:contextualSpacing/>
              <w:jc w:val="center"/>
              <w:rPr>
                <w:rFonts w:eastAsia="Times New Roman" w:cs="Times New Roman"/>
                <w:szCs w:val="24"/>
                <w:lang w:eastAsia="pt-BR"/>
              </w:rPr>
            </w:pPr>
            <w:r w:rsidRPr="00DB4A68">
              <w:rPr>
                <w:rFonts w:eastAsia="Times New Roman" w:cs="Times New Roman"/>
                <w:szCs w:val="24"/>
                <w:lang w:eastAsia="pt-BR"/>
              </w:rPr>
              <w:t>Variável Hipótese</w:t>
            </w:r>
          </w:p>
        </w:tc>
      </w:tr>
      <w:tr w:rsidR="00B422A5" w:rsidRPr="00DB4A68" w:rsidTr="00A21C1D">
        <w:trPr>
          <w:trHeight w:val="300"/>
        </w:trPr>
        <w:tc>
          <w:tcPr>
            <w:tcW w:w="1266" w:type="dxa"/>
            <w:vMerge/>
            <w:tcBorders>
              <w:top w:val="single" w:sz="4" w:space="0" w:color="auto"/>
              <w:left w:val="nil"/>
              <w:bottom w:val="single" w:sz="4" w:space="0" w:color="000000"/>
              <w:right w:val="nil"/>
            </w:tcBorders>
            <w:vAlign w:val="center"/>
            <w:hideMark/>
          </w:tcPr>
          <w:p w:rsidR="00B422A5" w:rsidRPr="00DB4A68" w:rsidRDefault="00B422A5" w:rsidP="00A21C1D">
            <w:pPr>
              <w:spacing w:after="0" w:line="240" w:lineRule="auto"/>
              <w:contextualSpacing/>
              <w:rPr>
                <w:rFonts w:eastAsia="Times New Roman" w:cs="Times New Roman"/>
                <w:szCs w:val="24"/>
                <w:lang w:eastAsia="pt-BR"/>
              </w:rPr>
            </w:pPr>
          </w:p>
        </w:tc>
        <w:tc>
          <w:tcPr>
            <w:tcW w:w="620"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620"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007" w:type="dxa"/>
            <w:tcBorders>
              <w:top w:val="nil"/>
              <w:left w:val="nil"/>
              <w:bottom w:val="single" w:sz="4" w:space="0" w:color="auto"/>
              <w:right w:val="nil"/>
            </w:tcBorders>
            <w:shd w:val="clear" w:color="auto" w:fill="auto"/>
            <w:noWrap/>
            <w:vAlign w:val="center"/>
            <w:hideMark/>
          </w:tcPr>
          <w:p w:rsidR="00B422A5" w:rsidRPr="00DB4A68" w:rsidRDefault="00B422A5"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620"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2002</w:t>
            </w:r>
          </w:p>
        </w:tc>
        <w:tc>
          <w:tcPr>
            <w:tcW w:w="687"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2009</w:t>
            </w:r>
          </w:p>
        </w:tc>
        <w:tc>
          <w:tcPr>
            <w:tcW w:w="1134" w:type="dxa"/>
            <w:tcBorders>
              <w:top w:val="nil"/>
              <w:left w:val="nil"/>
              <w:bottom w:val="single" w:sz="4" w:space="0" w:color="auto"/>
              <w:right w:val="nil"/>
            </w:tcBorders>
            <w:shd w:val="clear" w:color="auto" w:fill="auto"/>
            <w:noWrap/>
            <w:vAlign w:val="center"/>
            <w:hideMark/>
          </w:tcPr>
          <w:p w:rsidR="00B422A5" w:rsidRPr="00DB4A68" w:rsidRDefault="00B422A5"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Variação</w:t>
            </w:r>
          </w:p>
        </w:tc>
        <w:tc>
          <w:tcPr>
            <w:tcW w:w="1134" w:type="dxa"/>
            <w:vMerge/>
            <w:tcBorders>
              <w:top w:val="single" w:sz="4" w:space="0" w:color="auto"/>
              <w:left w:val="nil"/>
              <w:bottom w:val="single" w:sz="4" w:space="0" w:color="000000"/>
              <w:right w:val="nil"/>
            </w:tcBorders>
            <w:vAlign w:val="center"/>
            <w:hideMark/>
          </w:tcPr>
          <w:p w:rsidR="00B422A5" w:rsidRPr="00DB4A68" w:rsidRDefault="00B422A5" w:rsidP="00A21C1D">
            <w:pPr>
              <w:spacing w:after="0" w:line="240" w:lineRule="auto"/>
              <w:contextualSpacing/>
              <w:rPr>
                <w:rFonts w:eastAsia="Times New Roman" w:cs="Times New Roman"/>
                <w:szCs w:val="24"/>
                <w:lang w:eastAsia="pt-BR"/>
              </w:rPr>
            </w:pPr>
          </w:p>
        </w:tc>
        <w:tc>
          <w:tcPr>
            <w:tcW w:w="1276" w:type="dxa"/>
            <w:vMerge/>
            <w:tcBorders>
              <w:top w:val="single" w:sz="4" w:space="0" w:color="auto"/>
              <w:left w:val="nil"/>
              <w:bottom w:val="single" w:sz="4" w:space="0" w:color="000000"/>
              <w:right w:val="nil"/>
            </w:tcBorders>
            <w:vAlign w:val="center"/>
            <w:hideMark/>
          </w:tcPr>
          <w:p w:rsidR="00B422A5" w:rsidRPr="00DB4A68" w:rsidRDefault="00B422A5" w:rsidP="00A21C1D">
            <w:pPr>
              <w:spacing w:after="0" w:line="240" w:lineRule="auto"/>
              <w:contextualSpacing/>
              <w:rPr>
                <w:rFonts w:eastAsia="Times New Roman" w:cs="Times New Roman"/>
                <w:szCs w:val="24"/>
                <w:lang w:eastAsia="pt-BR"/>
              </w:rPr>
            </w:pPr>
          </w:p>
        </w:tc>
      </w:tr>
      <w:tr w:rsidR="00B422A5" w:rsidRPr="00DB4A68" w:rsidTr="00A21C1D">
        <w:trPr>
          <w:trHeight w:val="300"/>
        </w:trPr>
        <w:tc>
          <w:tcPr>
            <w:tcW w:w="126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roofErr w:type="gramStart"/>
            <w:r w:rsidRPr="00DB4A68">
              <w:rPr>
                <w:rFonts w:eastAsia="Times New Roman" w:cs="Times New Roman"/>
                <w:szCs w:val="24"/>
                <w:lang w:eastAsia="pt-BR"/>
              </w:rPr>
              <w:t>7</w:t>
            </w:r>
            <w:proofErr w:type="gramEnd"/>
            <w:r w:rsidRPr="00DB4A68">
              <w:rPr>
                <w:rFonts w:eastAsia="Times New Roman" w:cs="Times New Roman"/>
                <w:szCs w:val="24"/>
                <w:lang w:eastAsia="pt-BR"/>
              </w:rPr>
              <w:t xml:space="preserve"> dias</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0,06</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0,35</w:t>
            </w:r>
          </w:p>
        </w:tc>
        <w:tc>
          <w:tcPr>
            <w:tcW w:w="100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0,29</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0,25</w:t>
            </w:r>
          </w:p>
        </w:tc>
        <w:tc>
          <w:tcPr>
            <w:tcW w:w="68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0,14</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-0,11</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B422A5" w:rsidRPr="00DB4A68" w:rsidTr="00A21C1D">
        <w:trPr>
          <w:trHeight w:val="300"/>
        </w:trPr>
        <w:tc>
          <w:tcPr>
            <w:tcW w:w="126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90 dias</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00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68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
        </w:tc>
      </w:tr>
      <w:tr w:rsidR="00B422A5" w:rsidRPr="00DB4A68" w:rsidTr="00A21C1D">
        <w:trPr>
          <w:trHeight w:val="300"/>
        </w:trPr>
        <w:tc>
          <w:tcPr>
            <w:tcW w:w="1266" w:type="dxa"/>
            <w:tcBorders>
              <w:top w:val="nil"/>
              <w:left w:val="nil"/>
              <w:bottom w:val="nil"/>
              <w:right w:val="nil"/>
            </w:tcBorders>
            <w:shd w:val="clear" w:color="auto" w:fill="auto"/>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 xml:space="preserve"> </w:t>
            </w: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7</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0,72</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0,16</w:t>
            </w:r>
          </w:p>
        </w:tc>
        <w:tc>
          <w:tcPr>
            <w:tcW w:w="100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-0,56</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0,29</w:t>
            </w:r>
          </w:p>
        </w:tc>
        <w:tc>
          <w:tcPr>
            <w:tcW w:w="68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0,06</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-0,23</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B422A5" w:rsidRPr="00DB4A68" w:rsidTr="00A21C1D">
        <w:trPr>
          <w:trHeight w:val="300"/>
        </w:trPr>
        <w:tc>
          <w:tcPr>
            <w:tcW w:w="1266" w:type="dxa"/>
            <w:tcBorders>
              <w:top w:val="nil"/>
              <w:left w:val="nil"/>
              <w:bottom w:val="nil"/>
              <w:right w:val="nil"/>
            </w:tcBorders>
            <w:shd w:val="clear" w:color="auto" w:fill="auto"/>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9</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0,27</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0,18</w:t>
            </w:r>
          </w:p>
        </w:tc>
        <w:tc>
          <w:tcPr>
            <w:tcW w:w="100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-0,09</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0,04</w:t>
            </w:r>
          </w:p>
        </w:tc>
        <w:tc>
          <w:tcPr>
            <w:tcW w:w="68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0,06</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0,02</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B422A5" w:rsidRPr="00DB4A68" w:rsidTr="00A21C1D">
        <w:trPr>
          <w:trHeight w:val="300"/>
        </w:trPr>
        <w:tc>
          <w:tcPr>
            <w:tcW w:w="126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12 meses</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00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68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
        </w:tc>
      </w:tr>
      <w:tr w:rsidR="00B422A5" w:rsidRPr="00DB4A68" w:rsidTr="00A21C1D">
        <w:trPr>
          <w:trHeight w:val="300"/>
        </w:trPr>
        <w:tc>
          <w:tcPr>
            <w:tcW w:w="1266" w:type="dxa"/>
            <w:tcBorders>
              <w:top w:val="nil"/>
              <w:left w:val="nil"/>
              <w:bottom w:val="nil"/>
              <w:right w:val="nil"/>
            </w:tcBorders>
            <w:shd w:val="clear" w:color="auto" w:fill="auto"/>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10</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0,99</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0,69</w:t>
            </w:r>
          </w:p>
        </w:tc>
        <w:tc>
          <w:tcPr>
            <w:tcW w:w="100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-0,30</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0,54</w:t>
            </w:r>
          </w:p>
        </w:tc>
        <w:tc>
          <w:tcPr>
            <w:tcW w:w="68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0,19</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-0,35</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B422A5" w:rsidRPr="00DB4A68" w:rsidTr="00A21C1D">
        <w:trPr>
          <w:trHeight w:val="300"/>
        </w:trPr>
        <w:tc>
          <w:tcPr>
            <w:tcW w:w="1266" w:type="dxa"/>
            <w:tcBorders>
              <w:top w:val="nil"/>
              <w:left w:val="nil"/>
              <w:bottom w:val="nil"/>
              <w:right w:val="nil"/>
            </w:tcBorders>
            <w:shd w:val="clear" w:color="auto" w:fill="auto"/>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11</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0,56</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0,46</w:t>
            </w:r>
          </w:p>
        </w:tc>
        <w:tc>
          <w:tcPr>
            <w:tcW w:w="100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-0,10</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0,17</w:t>
            </w:r>
          </w:p>
        </w:tc>
        <w:tc>
          <w:tcPr>
            <w:tcW w:w="68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0,23</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0,06</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B422A5" w:rsidRPr="00DB4A68" w:rsidTr="00A21C1D">
        <w:trPr>
          <w:trHeight w:val="300"/>
        </w:trPr>
        <w:tc>
          <w:tcPr>
            <w:tcW w:w="126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Outras</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00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68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
        </w:tc>
      </w:tr>
      <w:tr w:rsidR="00B422A5" w:rsidRPr="00DB4A68" w:rsidTr="00A21C1D">
        <w:trPr>
          <w:trHeight w:val="300"/>
        </w:trPr>
        <w:tc>
          <w:tcPr>
            <w:tcW w:w="1266" w:type="dxa"/>
            <w:tcBorders>
              <w:top w:val="nil"/>
              <w:left w:val="nil"/>
              <w:bottom w:val="nil"/>
              <w:right w:val="nil"/>
            </w:tcBorders>
            <w:shd w:val="clear" w:color="auto" w:fill="auto"/>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15</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0,35</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0,28</w:t>
            </w:r>
          </w:p>
        </w:tc>
        <w:tc>
          <w:tcPr>
            <w:tcW w:w="100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-0,07</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0,18</w:t>
            </w:r>
          </w:p>
        </w:tc>
        <w:tc>
          <w:tcPr>
            <w:tcW w:w="68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0,15</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-0,04</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B422A5" w:rsidRPr="00DB4A68" w:rsidTr="00A21C1D">
        <w:trPr>
          <w:trHeight w:val="300"/>
        </w:trPr>
        <w:tc>
          <w:tcPr>
            <w:tcW w:w="1266" w:type="dxa"/>
            <w:tcBorders>
              <w:top w:val="nil"/>
              <w:left w:val="nil"/>
              <w:bottom w:val="nil"/>
              <w:right w:val="nil"/>
            </w:tcBorders>
            <w:shd w:val="clear" w:color="auto" w:fill="auto"/>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proofErr w:type="gramStart"/>
            <w:r w:rsidRPr="00DB4A68">
              <w:rPr>
                <w:rFonts w:eastAsia="Times New Roman" w:cs="Times New Roman"/>
                <w:szCs w:val="24"/>
                <w:lang w:eastAsia="pt-BR"/>
              </w:rPr>
              <w:t>quadro</w:t>
            </w:r>
            <w:proofErr w:type="gramEnd"/>
            <w:r w:rsidRPr="00DB4A68">
              <w:rPr>
                <w:rFonts w:eastAsia="Times New Roman" w:cs="Times New Roman"/>
                <w:szCs w:val="24"/>
                <w:lang w:eastAsia="pt-BR"/>
              </w:rPr>
              <w:t xml:space="preserve"> 17</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0,30</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0,27</w:t>
            </w:r>
          </w:p>
        </w:tc>
        <w:tc>
          <w:tcPr>
            <w:tcW w:w="100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-0,03</w:t>
            </w:r>
          </w:p>
        </w:tc>
        <w:tc>
          <w:tcPr>
            <w:tcW w:w="620"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0,14</w:t>
            </w:r>
          </w:p>
        </w:tc>
        <w:tc>
          <w:tcPr>
            <w:tcW w:w="687"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0,19</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0,05</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B422A5" w:rsidRPr="00DB4A68" w:rsidTr="00A21C1D">
        <w:trPr>
          <w:trHeight w:val="300"/>
        </w:trPr>
        <w:tc>
          <w:tcPr>
            <w:tcW w:w="1266" w:type="dxa"/>
            <w:tcBorders>
              <w:top w:val="nil"/>
              <w:left w:val="nil"/>
              <w:bottom w:val="single" w:sz="4" w:space="0" w:color="auto"/>
              <w:right w:val="nil"/>
            </w:tcBorders>
            <w:shd w:val="clear" w:color="auto" w:fill="auto"/>
            <w:vAlign w:val="bottom"/>
            <w:hideMark/>
          </w:tcPr>
          <w:p w:rsidR="00B422A5" w:rsidRPr="00DB4A68" w:rsidRDefault="00B422A5"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Veículos</w:t>
            </w:r>
          </w:p>
        </w:tc>
        <w:tc>
          <w:tcPr>
            <w:tcW w:w="620"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0,73</w:t>
            </w:r>
          </w:p>
        </w:tc>
        <w:tc>
          <w:tcPr>
            <w:tcW w:w="620"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0,83</w:t>
            </w:r>
          </w:p>
        </w:tc>
        <w:tc>
          <w:tcPr>
            <w:tcW w:w="1007"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0,10</w:t>
            </w:r>
          </w:p>
        </w:tc>
        <w:tc>
          <w:tcPr>
            <w:tcW w:w="620"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0,54</w:t>
            </w:r>
          </w:p>
        </w:tc>
        <w:tc>
          <w:tcPr>
            <w:tcW w:w="687"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0,66</w:t>
            </w:r>
          </w:p>
        </w:tc>
        <w:tc>
          <w:tcPr>
            <w:tcW w:w="1134"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right"/>
              <w:rPr>
                <w:rFonts w:eastAsia="Times New Roman" w:cs="Times New Roman"/>
                <w:szCs w:val="24"/>
                <w:lang w:eastAsia="pt-BR"/>
              </w:rPr>
            </w:pPr>
            <w:r w:rsidRPr="00DB4A68">
              <w:rPr>
                <w:rFonts w:eastAsia="Times New Roman" w:cs="Times New Roman"/>
                <w:szCs w:val="24"/>
                <w:lang w:eastAsia="pt-BR"/>
              </w:rPr>
              <w:t>0,11</w:t>
            </w:r>
          </w:p>
        </w:tc>
        <w:tc>
          <w:tcPr>
            <w:tcW w:w="1134"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0</w:t>
            </w:r>
            <w:proofErr w:type="gramEnd"/>
          </w:p>
        </w:tc>
        <w:tc>
          <w:tcPr>
            <w:tcW w:w="1276" w:type="dxa"/>
            <w:tcBorders>
              <w:top w:val="nil"/>
              <w:left w:val="nil"/>
              <w:bottom w:val="single" w:sz="4" w:space="0" w:color="auto"/>
              <w:right w:val="nil"/>
            </w:tcBorders>
            <w:shd w:val="clear" w:color="auto" w:fill="auto"/>
            <w:noWrap/>
            <w:vAlign w:val="bottom"/>
            <w:hideMark/>
          </w:tcPr>
          <w:p w:rsidR="00B422A5" w:rsidRPr="00DB4A68" w:rsidRDefault="00B422A5" w:rsidP="00A21C1D">
            <w:pPr>
              <w:spacing w:after="0" w:line="240" w:lineRule="auto"/>
              <w:contextualSpacing/>
              <w:jc w:val="center"/>
              <w:rPr>
                <w:rFonts w:eastAsia="Times New Roman" w:cs="Times New Roman"/>
                <w:szCs w:val="24"/>
                <w:lang w:eastAsia="pt-BR"/>
              </w:rPr>
            </w:pPr>
            <w:proofErr w:type="gramStart"/>
            <w:r w:rsidRPr="00DB4A68">
              <w:rPr>
                <w:rFonts w:eastAsia="Times New Roman" w:cs="Times New Roman"/>
                <w:szCs w:val="24"/>
                <w:lang w:eastAsia="pt-BR"/>
              </w:rPr>
              <w:t>1</w:t>
            </w:r>
            <w:proofErr w:type="gramEnd"/>
          </w:p>
        </w:tc>
      </w:tr>
      <w:tr w:rsidR="00B422A5" w:rsidRPr="00DB4A68" w:rsidTr="00A21C1D">
        <w:trPr>
          <w:trHeight w:val="300"/>
        </w:trPr>
        <w:tc>
          <w:tcPr>
            <w:tcW w:w="5954" w:type="dxa"/>
            <w:gridSpan w:val="7"/>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xml:space="preserve">Fonte: Elaboração própria a partir dos dados das </w:t>
            </w:r>
            <w:proofErr w:type="spellStart"/>
            <w:r w:rsidRPr="00DB4A68">
              <w:rPr>
                <w:rFonts w:eastAsia="Times New Roman" w:cs="Times New Roman"/>
                <w:szCs w:val="24"/>
                <w:lang w:eastAsia="pt-BR"/>
              </w:rPr>
              <w:t>POFs</w:t>
            </w:r>
            <w:proofErr w:type="spellEnd"/>
            <w:r w:rsidRPr="00DB4A68">
              <w:rPr>
                <w:rFonts w:eastAsia="Times New Roman" w:cs="Times New Roman"/>
                <w:szCs w:val="24"/>
                <w:lang w:eastAsia="pt-BR"/>
              </w:rPr>
              <w:t>.</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r>
      <w:tr w:rsidR="00B422A5" w:rsidRPr="00DB4A68" w:rsidTr="00A21C1D">
        <w:trPr>
          <w:trHeight w:val="300"/>
        </w:trPr>
        <w:tc>
          <w:tcPr>
            <w:tcW w:w="5954" w:type="dxa"/>
            <w:gridSpan w:val="7"/>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r w:rsidRPr="00DB4A68">
              <w:rPr>
                <w:rFonts w:eastAsia="Times New Roman" w:cs="Times New Roman"/>
                <w:szCs w:val="24"/>
                <w:lang w:eastAsia="pt-BR"/>
              </w:rPr>
              <w:t>* Relação: (</w:t>
            </w:r>
            <w:proofErr w:type="spellStart"/>
            <w:r w:rsidRPr="00DB4A68">
              <w:rPr>
                <w:rFonts w:eastAsia="Times New Roman" w:cs="Times New Roman"/>
                <w:szCs w:val="24"/>
                <w:lang w:eastAsia="pt-BR"/>
              </w:rPr>
              <w:t>Desp</w:t>
            </w:r>
            <w:proofErr w:type="spellEnd"/>
            <w:r w:rsidRPr="00DB4A68">
              <w:rPr>
                <w:rFonts w:eastAsia="Times New Roman" w:cs="Times New Roman"/>
                <w:szCs w:val="24"/>
                <w:lang w:eastAsia="pt-BR"/>
              </w:rPr>
              <w:t xml:space="preserve"> Item/Renda</w:t>
            </w:r>
            <w:proofErr w:type="gramStart"/>
            <w:r w:rsidRPr="00DB4A68">
              <w:rPr>
                <w:rFonts w:eastAsia="Times New Roman" w:cs="Times New Roman"/>
                <w:szCs w:val="24"/>
                <w:lang w:eastAsia="pt-BR"/>
              </w:rPr>
              <w:t>)</w:t>
            </w:r>
            <w:proofErr w:type="gramEnd"/>
            <w:r w:rsidRPr="00DB4A68">
              <w:rPr>
                <w:rFonts w:eastAsia="Times New Roman" w:cs="Times New Roman"/>
                <w:szCs w:val="24"/>
                <w:lang w:eastAsia="pt-BR"/>
              </w:rPr>
              <w:t>/(</w:t>
            </w:r>
            <w:proofErr w:type="spellStart"/>
            <w:r w:rsidRPr="00DB4A68">
              <w:rPr>
                <w:rFonts w:eastAsia="Times New Roman" w:cs="Times New Roman"/>
                <w:szCs w:val="24"/>
                <w:lang w:eastAsia="pt-BR"/>
              </w:rPr>
              <w:t>Desp</w:t>
            </w:r>
            <w:proofErr w:type="spellEnd"/>
            <w:r w:rsidRPr="00DB4A68">
              <w:rPr>
                <w:rFonts w:eastAsia="Times New Roman" w:cs="Times New Roman"/>
                <w:szCs w:val="24"/>
                <w:lang w:eastAsia="pt-BR"/>
              </w:rPr>
              <w:t xml:space="preserve"> Alimentação/Renda)</w:t>
            </w:r>
          </w:p>
        </w:tc>
        <w:tc>
          <w:tcPr>
            <w:tcW w:w="1134"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c>
          <w:tcPr>
            <w:tcW w:w="1276" w:type="dxa"/>
            <w:tcBorders>
              <w:top w:val="nil"/>
              <w:left w:val="nil"/>
              <w:bottom w:val="nil"/>
              <w:right w:val="nil"/>
            </w:tcBorders>
            <w:shd w:val="clear" w:color="auto" w:fill="auto"/>
            <w:noWrap/>
            <w:vAlign w:val="bottom"/>
            <w:hideMark/>
          </w:tcPr>
          <w:p w:rsidR="00B422A5" w:rsidRPr="00DB4A68" w:rsidRDefault="00B422A5" w:rsidP="00A21C1D">
            <w:pPr>
              <w:spacing w:after="0" w:line="240" w:lineRule="auto"/>
              <w:contextualSpacing/>
              <w:rPr>
                <w:rFonts w:eastAsia="Times New Roman" w:cs="Times New Roman"/>
                <w:szCs w:val="24"/>
                <w:lang w:eastAsia="pt-BR"/>
              </w:rPr>
            </w:pPr>
          </w:p>
        </w:tc>
      </w:tr>
    </w:tbl>
    <w:p w:rsidR="0081136E" w:rsidRDefault="0081136E" w:rsidP="007B702C">
      <w:pPr>
        <w:contextualSpacing/>
        <w:jc w:val="both"/>
      </w:pPr>
    </w:p>
    <w:p w:rsidR="0081136E" w:rsidRPr="000E2D46" w:rsidRDefault="0081136E" w:rsidP="000E2D46">
      <w:pPr>
        <w:pStyle w:val="PargrafodaLista"/>
        <w:numPr>
          <w:ilvl w:val="0"/>
          <w:numId w:val="1"/>
        </w:numPr>
        <w:jc w:val="both"/>
        <w:rPr>
          <w:b/>
          <w:caps/>
        </w:rPr>
      </w:pPr>
      <w:r w:rsidRPr="000E2D46">
        <w:rPr>
          <w:b/>
          <w:caps/>
        </w:rPr>
        <w:t>Considerações Finais</w:t>
      </w:r>
    </w:p>
    <w:p w:rsidR="0081136E" w:rsidRPr="00DB4A68" w:rsidRDefault="0081136E" w:rsidP="000E2D46">
      <w:pPr>
        <w:contextualSpacing/>
        <w:jc w:val="both"/>
      </w:pPr>
    </w:p>
    <w:p w:rsidR="0081136E" w:rsidRDefault="0081136E" w:rsidP="000E2D46">
      <w:pPr>
        <w:ind w:firstLine="708"/>
        <w:contextualSpacing/>
        <w:jc w:val="both"/>
      </w:pPr>
      <w:r>
        <w:t>O</w:t>
      </w:r>
      <w:r w:rsidR="00B422A5">
        <w:t xml:space="preserve"> presente </w:t>
      </w:r>
      <w:r>
        <w:t xml:space="preserve">trabalho tratou da pobreza no estado de Sergipe a partir da ótica da multa da pobreza, uma das diversas abordagens sobre o tema. O objetivo principal do </w:t>
      </w:r>
      <w:r w:rsidR="00B422A5">
        <w:t>trabalho foi constatar, para Sergipe</w:t>
      </w:r>
      <w:r>
        <w:t xml:space="preserve">, a existência desse fenômeno, que indica que os domicílios pobres enfrentariam maior custo na realização das despesas do que </w:t>
      </w:r>
      <w:proofErr w:type="gramStart"/>
      <w:r>
        <w:t>os não</w:t>
      </w:r>
      <w:proofErr w:type="gramEnd"/>
      <w:r>
        <w:t xml:space="preserve"> pobres. </w:t>
      </w:r>
    </w:p>
    <w:p w:rsidR="0081136E" w:rsidRDefault="0081136E" w:rsidP="000E2D46">
      <w:pPr>
        <w:ind w:firstLine="708"/>
        <w:contextualSpacing/>
        <w:jc w:val="both"/>
      </w:pPr>
      <w:r>
        <w:t>À luz do conceito formulado por</w:t>
      </w:r>
      <w:proofErr w:type="gramStart"/>
      <w:r>
        <w:t xml:space="preserve">  </w:t>
      </w:r>
      <w:proofErr w:type="spellStart"/>
      <w:proofErr w:type="gramEnd"/>
      <w:r>
        <w:t>Prahalad</w:t>
      </w:r>
      <w:proofErr w:type="spellEnd"/>
      <w:r>
        <w:t xml:space="preserve"> (2005), indicou-se que a relação entre despesas com alimentação com outras despesas em geral foi prejudicial para os domicílios pobres.</w:t>
      </w:r>
    </w:p>
    <w:p w:rsidR="0081136E" w:rsidRDefault="0081136E" w:rsidP="000E2D46">
      <w:pPr>
        <w:ind w:firstLine="708"/>
        <w:contextualSpacing/>
        <w:jc w:val="both"/>
      </w:pPr>
      <w:r>
        <w:t xml:space="preserve">A partir dos cálculos realizados e dos resultados obtidos pode-se afirmar então que a existência da multa da pobreza para o estado de Sergipe </w:t>
      </w:r>
      <w:r w:rsidR="00B422A5">
        <w:t>foi</w:t>
      </w:r>
      <w:r>
        <w:t xml:space="preserve"> confirmada. Mais do que isso, que a incidência dessa multa é diferente para cada estrato. </w:t>
      </w:r>
      <w:r w:rsidR="00B422A5">
        <w:t xml:space="preserve">O estrato rural </w:t>
      </w:r>
      <w:r>
        <w:t>foi o que apresentou a maior incidência de multa da pobreza</w:t>
      </w:r>
      <w:r w:rsidR="00B422A5">
        <w:t xml:space="preserve"> em relação a variável teste,</w:t>
      </w:r>
      <w:r>
        <w:t xml:space="preserve"> no sentido de </w:t>
      </w:r>
      <w:proofErr w:type="spellStart"/>
      <w:r>
        <w:t>Prahalad</w:t>
      </w:r>
      <w:proofErr w:type="spellEnd"/>
      <w:r>
        <w:t xml:space="preserve"> (2005), ou seja, quatro grupos de despesas.</w:t>
      </w:r>
      <w:r w:rsidR="007B702C">
        <w:t xml:space="preserve"> O</w:t>
      </w:r>
      <w:r>
        <w:t xml:space="preserve">s aumentos de preços nos grupos de despesas relacionadas </w:t>
      </w:r>
      <w:r w:rsidR="00B422A5">
        <w:t>à</w:t>
      </w:r>
      <w:r>
        <w:t xml:space="preserve"> conservação e manutenção de habitação, jazigo e jardinagem (quadro </w:t>
      </w:r>
      <w:proofErr w:type="gramStart"/>
      <w:r>
        <w:t>8</w:t>
      </w:r>
      <w:proofErr w:type="gramEnd"/>
      <w:r>
        <w:t>), aquisição de aparelhos e máquinas, ferramentas, animais domésticos e equipamentos (quadros 15 e 16), e despesas com veículos, tendem a piorar a situação dos domicílios pobres desse estrato.</w:t>
      </w:r>
    </w:p>
    <w:p w:rsidR="0081136E" w:rsidRDefault="0081136E" w:rsidP="000E2D46">
      <w:pPr>
        <w:ind w:firstLine="708"/>
        <w:contextualSpacing/>
        <w:jc w:val="both"/>
      </w:pPr>
      <w:r>
        <w:lastRenderedPageBreak/>
        <w:t>Os domicílios pobres do estrato rural são os únicos que sofrem pela multa da pobreza nos gastos realizados a habitação e a aquisição de aparelh</w:t>
      </w:r>
      <w:r w:rsidR="00B422A5">
        <w:t xml:space="preserve">os domésticos (quadros </w:t>
      </w:r>
      <w:proofErr w:type="gramStart"/>
      <w:r w:rsidR="00B422A5">
        <w:t>8</w:t>
      </w:r>
      <w:proofErr w:type="gramEnd"/>
      <w:r w:rsidR="00B422A5">
        <w:t xml:space="preserve"> e 15).</w:t>
      </w:r>
    </w:p>
    <w:p w:rsidR="0081136E" w:rsidRPr="00A75966" w:rsidRDefault="0081136E" w:rsidP="000E2D46">
      <w:pPr>
        <w:ind w:firstLine="708"/>
        <w:contextualSpacing/>
        <w:jc w:val="both"/>
        <w:rPr>
          <w:color w:val="FF0000"/>
        </w:rPr>
      </w:pPr>
      <w:r>
        <w:t>Portanto, a multa da pobreza foi detectada para diferentes estratos do estado de Sergipe e diferentes grupos de despesas. Isto aconteceu quando observados os grupos de alimentos e também quando considerado o grupo de despesas com alimentação como um só e se comparou com ele outros grupos de despesas. Os estratos regionais sergipanos,</w:t>
      </w:r>
      <w:r w:rsidRPr="007A43FC">
        <w:t xml:space="preserve"> diferenciados entre capital, rural e urbano, apresentam diferentes grupos de alimentação em que se constatou multa da pobreza, porém, há algumas semelhanças entre eles.</w:t>
      </w:r>
      <w:r>
        <w:t xml:space="preserve"> No critério comparativo do grupo de despesa com alimentação com outros grupos, o estrato urbano se diferenciou, apesar de ter sido no estrato rural onde um número maior de multas desse tipo foi constatado. Assim, resulta do que foi dito</w:t>
      </w:r>
      <w:r w:rsidR="00B422A5">
        <w:t>,</w:t>
      </w:r>
      <w:r>
        <w:t xml:space="preserve"> que mudanças nos preços de diferentes grupos de alimentos afetam de forma comum</w:t>
      </w:r>
      <w:r w:rsidRPr="007A43FC">
        <w:t>, para alguns grupos de alimentos,</w:t>
      </w:r>
      <w:r>
        <w:t xml:space="preserve"> a todos os estratos sergipanos, mas afeta mais o estrato urbano. Mudanças nos preços de outros grupos de despesas, comparativamente aos preços dos alimentos, por sua vez, afetam de forma diferenciada o estrato urbano, embora afete mais o estrato rural.</w:t>
      </w:r>
    </w:p>
    <w:p w:rsidR="0081136E" w:rsidRDefault="000E2D46" w:rsidP="000E2D46">
      <w:pPr>
        <w:contextualSpacing/>
        <w:jc w:val="both"/>
      </w:pPr>
      <w:r>
        <w:t xml:space="preserve">             Logo se verifica a existência da multa da pobreza no Estado de Sergipe, para os três estratos analisados. Outras metodologias podem ser tratadas com o objetivo de indicar a multa da pobreza, assim como, outros gastos podem ser considerados ”catastróficos” sob o modelo utilizado por </w:t>
      </w:r>
      <w:proofErr w:type="spellStart"/>
      <w:r>
        <w:t>Prahalad</w:t>
      </w:r>
      <w:proofErr w:type="spellEnd"/>
      <w:r>
        <w:t xml:space="preserve"> (2005) para verificar a incidência de tal fenômeno. </w:t>
      </w:r>
    </w:p>
    <w:p w:rsidR="0081136E" w:rsidRDefault="0081136E" w:rsidP="0081136E">
      <w:pPr>
        <w:ind w:firstLine="708"/>
        <w:contextualSpacing/>
        <w:jc w:val="both"/>
      </w:pPr>
    </w:p>
    <w:p w:rsidR="0081136E" w:rsidRDefault="0081136E" w:rsidP="0081136E">
      <w:pPr>
        <w:ind w:firstLine="708"/>
        <w:contextualSpacing/>
        <w:jc w:val="both"/>
      </w:pPr>
    </w:p>
    <w:p w:rsidR="004A02BA" w:rsidRPr="00DB7467" w:rsidRDefault="004A02BA" w:rsidP="004A02BA">
      <w:pPr>
        <w:contextualSpacing/>
        <w:rPr>
          <w:b/>
          <w:lang w:val="en-US"/>
        </w:rPr>
      </w:pPr>
      <w:r w:rsidRPr="00DB7467">
        <w:rPr>
          <w:b/>
          <w:lang w:val="en-US"/>
        </w:rPr>
        <w:t>REFERÊNCIAS</w:t>
      </w:r>
    </w:p>
    <w:p w:rsidR="004A02BA" w:rsidRPr="00DB7467" w:rsidRDefault="004A02BA" w:rsidP="004A02BA">
      <w:pPr>
        <w:autoSpaceDE w:val="0"/>
        <w:autoSpaceDN w:val="0"/>
        <w:adjustRightInd w:val="0"/>
        <w:contextualSpacing/>
        <w:rPr>
          <w:rFonts w:cs="Times New Roman"/>
          <w:szCs w:val="24"/>
          <w:lang w:val="en-US"/>
        </w:rPr>
      </w:pPr>
    </w:p>
    <w:p w:rsidR="004A02BA" w:rsidRPr="004A02BA" w:rsidRDefault="004A02BA" w:rsidP="004A02BA">
      <w:pPr>
        <w:autoSpaceDE w:val="0"/>
        <w:autoSpaceDN w:val="0"/>
        <w:adjustRightInd w:val="0"/>
        <w:rPr>
          <w:rFonts w:cs="Times New Roman"/>
          <w:bCs/>
          <w:szCs w:val="24"/>
          <w:lang w:val="en-US"/>
        </w:rPr>
      </w:pPr>
      <w:r w:rsidRPr="00DB4A68">
        <w:rPr>
          <w:rFonts w:cs="Times New Roman"/>
          <w:bCs/>
          <w:szCs w:val="24"/>
          <w:lang w:val="en-US"/>
        </w:rPr>
        <w:t xml:space="preserve">CAPLOVITZ, D. “The Poor Pay More: Consumer Practices of Low Income Families”. </w:t>
      </w:r>
      <w:r w:rsidRPr="004A02BA">
        <w:rPr>
          <w:rFonts w:cs="Times New Roman"/>
          <w:bCs/>
          <w:szCs w:val="24"/>
          <w:lang w:val="en-US"/>
        </w:rPr>
        <w:t>Free Press of Glencoe: Toronto, Ontario, 1963.</w:t>
      </w:r>
    </w:p>
    <w:p w:rsidR="004A02BA" w:rsidRPr="00DB4A68" w:rsidRDefault="004A02BA" w:rsidP="004A02BA">
      <w:pPr>
        <w:autoSpaceDE w:val="0"/>
        <w:autoSpaceDN w:val="0"/>
        <w:adjustRightInd w:val="0"/>
        <w:rPr>
          <w:rFonts w:cs="Times New Roman"/>
          <w:bCs/>
          <w:szCs w:val="24"/>
        </w:rPr>
      </w:pPr>
      <w:r w:rsidRPr="00DB4A68">
        <w:rPr>
          <w:rFonts w:cs="Times New Roman"/>
          <w:bCs/>
          <w:szCs w:val="24"/>
          <w:lang w:val="en-US"/>
        </w:rPr>
        <w:t xml:space="preserve">HAMMOND, A. L, KRAMER, W. J, KATZ, R. S, TRAN, J. T, WALKER, C. “The Next Four Billion: Market Size and Business Strategy at the Base of the Pyramid”. World Resources Institute and the International Finance Corporation: Washington, DC, 2007. </w:t>
      </w:r>
      <w:r w:rsidRPr="00DB4A68">
        <w:rPr>
          <w:rFonts w:cs="Times New Roman"/>
          <w:bCs/>
          <w:szCs w:val="24"/>
        </w:rPr>
        <w:t xml:space="preserve">Disponível em </w:t>
      </w:r>
      <w:hyperlink r:id="rId11" w:history="1">
        <w:r w:rsidRPr="00DB4A68">
          <w:rPr>
            <w:rStyle w:val="Hyperlink"/>
            <w:rFonts w:cs="Times New Roman"/>
            <w:szCs w:val="24"/>
          </w:rPr>
          <w:t>http://pdf.wri.org/n4b_fulltext_hi.pdf</w:t>
        </w:r>
      </w:hyperlink>
      <w:r w:rsidRPr="00DB4A68">
        <w:rPr>
          <w:rFonts w:cs="Times New Roman"/>
          <w:bCs/>
          <w:szCs w:val="24"/>
        </w:rPr>
        <w:t>.</w:t>
      </w:r>
    </w:p>
    <w:p w:rsidR="004A02BA" w:rsidRPr="00DB4A68" w:rsidRDefault="004A02BA" w:rsidP="004A02BA">
      <w:pPr>
        <w:rPr>
          <w:rFonts w:cs="Times New Roman"/>
          <w:szCs w:val="24"/>
        </w:rPr>
      </w:pPr>
      <w:r w:rsidRPr="00DB4A68">
        <w:rPr>
          <w:rFonts w:cs="Times New Roman"/>
          <w:szCs w:val="24"/>
        </w:rPr>
        <w:t>IBGE. Pesquisa de Orçamentos Familiares. Rio de Janeiro, 2002-2003. CD-ROM.</w:t>
      </w:r>
    </w:p>
    <w:p w:rsidR="004A02BA" w:rsidRPr="00DB4A68" w:rsidRDefault="004A02BA" w:rsidP="004A02BA">
      <w:pPr>
        <w:rPr>
          <w:rFonts w:cs="Times New Roman"/>
          <w:szCs w:val="24"/>
        </w:rPr>
      </w:pPr>
      <w:r w:rsidRPr="00DB4A68">
        <w:rPr>
          <w:rFonts w:cs="Times New Roman"/>
          <w:szCs w:val="24"/>
        </w:rPr>
        <w:lastRenderedPageBreak/>
        <w:t>IBGE. Pesquisa de Orçamentos Familiares. Rio de Janeiro, 2008-2009, CD-ROM.</w:t>
      </w:r>
    </w:p>
    <w:p w:rsidR="004A02BA" w:rsidRPr="004A02BA" w:rsidRDefault="004A02BA" w:rsidP="004A02BA">
      <w:pPr>
        <w:autoSpaceDE w:val="0"/>
        <w:autoSpaceDN w:val="0"/>
        <w:adjustRightInd w:val="0"/>
        <w:rPr>
          <w:rFonts w:cs="Times New Roman"/>
          <w:bCs/>
          <w:szCs w:val="24"/>
          <w:lang w:val="en-US"/>
        </w:rPr>
      </w:pPr>
      <w:r w:rsidRPr="00DB4A68">
        <w:rPr>
          <w:rFonts w:cs="Times New Roman"/>
          <w:bCs/>
          <w:szCs w:val="24"/>
          <w:lang w:val="en-US"/>
        </w:rPr>
        <w:t xml:space="preserve">KUNREUTHER, H. “Why the poor pay more for food: theoretical and empirical evidence”. </w:t>
      </w:r>
      <w:r w:rsidRPr="004A02BA">
        <w:rPr>
          <w:rFonts w:cs="Times New Roman"/>
          <w:bCs/>
          <w:szCs w:val="24"/>
          <w:lang w:val="en-US"/>
        </w:rPr>
        <w:t>The Journal of Business 46(3): 368–383, 1973.</w:t>
      </w:r>
    </w:p>
    <w:p w:rsidR="004A02BA" w:rsidRPr="004A02BA" w:rsidRDefault="004A02BA" w:rsidP="004A02BA">
      <w:pPr>
        <w:autoSpaceDE w:val="0"/>
        <w:autoSpaceDN w:val="0"/>
        <w:adjustRightInd w:val="0"/>
        <w:rPr>
          <w:rFonts w:cs="Times New Roman"/>
          <w:bCs/>
          <w:szCs w:val="24"/>
          <w:lang w:val="en-US"/>
        </w:rPr>
      </w:pPr>
      <w:proofErr w:type="gramStart"/>
      <w:r w:rsidRPr="00DB4A68">
        <w:rPr>
          <w:rFonts w:cs="Times New Roman"/>
          <w:bCs/>
          <w:szCs w:val="24"/>
          <w:lang w:val="en-US"/>
        </w:rPr>
        <w:t>MENDOZA, R. U. “Why do the poor pay more?</w:t>
      </w:r>
      <w:proofErr w:type="gramEnd"/>
      <w:r w:rsidRPr="00DB4A68">
        <w:rPr>
          <w:rFonts w:cs="Times New Roman"/>
          <w:bCs/>
          <w:szCs w:val="24"/>
          <w:lang w:val="en-US"/>
        </w:rPr>
        <w:t xml:space="preserve"> </w:t>
      </w:r>
      <w:proofErr w:type="gramStart"/>
      <w:r w:rsidRPr="00DB4A68">
        <w:rPr>
          <w:rFonts w:cs="Times New Roman"/>
          <w:bCs/>
          <w:szCs w:val="24"/>
          <w:lang w:val="en-US"/>
        </w:rPr>
        <w:t>Exploring the poverty penalty concept”.</w:t>
      </w:r>
      <w:proofErr w:type="gramEnd"/>
      <w:r w:rsidRPr="00DB4A68">
        <w:rPr>
          <w:rFonts w:cs="Times New Roman"/>
          <w:bCs/>
          <w:szCs w:val="24"/>
          <w:lang w:val="en-US"/>
        </w:rPr>
        <w:t xml:space="preserve"> </w:t>
      </w:r>
      <w:proofErr w:type="gramStart"/>
      <w:r w:rsidRPr="004A02BA">
        <w:rPr>
          <w:rFonts w:cs="Times New Roman"/>
          <w:bCs/>
          <w:i/>
          <w:szCs w:val="24"/>
          <w:lang w:val="en-US"/>
        </w:rPr>
        <w:t>Journal of International Development</w:t>
      </w:r>
      <w:r w:rsidRPr="004A02BA">
        <w:rPr>
          <w:rFonts w:cs="Times New Roman"/>
          <w:bCs/>
          <w:szCs w:val="24"/>
          <w:lang w:val="en-US"/>
        </w:rPr>
        <w:t>.</w:t>
      </w:r>
      <w:proofErr w:type="gramEnd"/>
      <w:r w:rsidRPr="004A02BA">
        <w:rPr>
          <w:rFonts w:cs="Times New Roman"/>
          <w:bCs/>
          <w:szCs w:val="24"/>
          <w:lang w:val="en-US"/>
        </w:rPr>
        <w:t xml:space="preserve"> 23 </w:t>
      </w:r>
      <w:proofErr w:type="spellStart"/>
      <w:proofErr w:type="gramStart"/>
      <w:r w:rsidRPr="004A02BA">
        <w:rPr>
          <w:rFonts w:cs="Times New Roman"/>
          <w:bCs/>
          <w:szCs w:val="24"/>
          <w:lang w:val="en-US"/>
        </w:rPr>
        <w:t>ed</w:t>
      </w:r>
      <w:proofErr w:type="spellEnd"/>
      <w:proofErr w:type="gramEnd"/>
      <w:r w:rsidRPr="004A02BA">
        <w:rPr>
          <w:rFonts w:cs="Times New Roman"/>
          <w:bCs/>
          <w:szCs w:val="24"/>
          <w:lang w:val="en-US"/>
        </w:rPr>
        <w:t>, 1-28, 2011.</w:t>
      </w:r>
    </w:p>
    <w:p w:rsidR="004A02BA" w:rsidRPr="00DB4A68" w:rsidRDefault="004A02BA" w:rsidP="004A02BA">
      <w:pPr>
        <w:autoSpaceDE w:val="0"/>
        <w:autoSpaceDN w:val="0"/>
        <w:adjustRightInd w:val="0"/>
        <w:rPr>
          <w:rFonts w:cs="Times New Roman"/>
          <w:bCs/>
          <w:szCs w:val="24"/>
        </w:rPr>
      </w:pPr>
      <w:r w:rsidRPr="00DB4A68">
        <w:rPr>
          <w:rFonts w:cs="Times New Roman"/>
          <w:bCs/>
          <w:szCs w:val="24"/>
          <w:lang w:val="en-US"/>
        </w:rPr>
        <w:t xml:space="preserve">PRAHALAD, C. K. “Fortune at the Bottom of the Pyramid: Eradicating Poverty through Profits”. </w:t>
      </w:r>
      <w:proofErr w:type="spellStart"/>
      <w:r w:rsidRPr="00DB4A68">
        <w:rPr>
          <w:rFonts w:cs="Times New Roman"/>
          <w:bCs/>
          <w:szCs w:val="24"/>
        </w:rPr>
        <w:t>Wharton</w:t>
      </w:r>
      <w:proofErr w:type="spellEnd"/>
      <w:r w:rsidRPr="00DB4A68">
        <w:rPr>
          <w:rFonts w:cs="Times New Roman"/>
          <w:bCs/>
          <w:szCs w:val="24"/>
        </w:rPr>
        <w:t xml:space="preserve"> </w:t>
      </w:r>
      <w:proofErr w:type="spellStart"/>
      <w:r w:rsidRPr="00DB4A68">
        <w:rPr>
          <w:rFonts w:cs="Times New Roman"/>
          <w:bCs/>
          <w:szCs w:val="24"/>
        </w:rPr>
        <w:t>School</w:t>
      </w:r>
      <w:proofErr w:type="spellEnd"/>
      <w:r w:rsidRPr="00DB4A68">
        <w:rPr>
          <w:rFonts w:cs="Times New Roman"/>
          <w:bCs/>
          <w:szCs w:val="24"/>
        </w:rPr>
        <w:t xml:space="preserve"> </w:t>
      </w:r>
      <w:proofErr w:type="spellStart"/>
      <w:r w:rsidRPr="00DB4A68">
        <w:rPr>
          <w:rFonts w:cs="Times New Roman"/>
          <w:bCs/>
          <w:szCs w:val="24"/>
        </w:rPr>
        <w:t>Publishing</w:t>
      </w:r>
      <w:proofErr w:type="spellEnd"/>
      <w:r w:rsidRPr="00DB4A68">
        <w:rPr>
          <w:rFonts w:cs="Times New Roman"/>
          <w:bCs/>
          <w:szCs w:val="24"/>
        </w:rPr>
        <w:t>: Philadelphia, Penn, 2005.</w:t>
      </w:r>
    </w:p>
    <w:p w:rsidR="004A02BA" w:rsidRPr="00DB4A68" w:rsidRDefault="004A02BA" w:rsidP="004A02BA">
      <w:pPr>
        <w:rPr>
          <w:rFonts w:cs="Times New Roman"/>
          <w:szCs w:val="24"/>
          <w:lang w:val="en-US"/>
        </w:rPr>
      </w:pPr>
    </w:p>
    <w:p w:rsidR="000744EC" w:rsidRDefault="000744EC" w:rsidP="000744EC">
      <w:pPr>
        <w:contextualSpacing/>
        <w:jc w:val="both"/>
      </w:pPr>
    </w:p>
    <w:p w:rsidR="000744EC" w:rsidRDefault="000744EC"/>
    <w:sectPr w:rsidR="000744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3B" w:rsidRDefault="008C573B" w:rsidP="00B678DB">
      <w:pPr>
        <w:spacing w:after="0" w:line="240" w:lineRule="auto"/>
      </w:pPr>
      <w:r>
        <w:separator/>
      </w:r>
    </w:p>
  </w:endnote>
  <w:endnote w:type="continuationSeparator" w:id="0">
    <w:p w:rsidR="008C573B" w:rsidRDefault="008C573B" w:rsidP="00B67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3B" w:rsidRDefault="008C573B" w:rsidP="00B678DB">
      <w:pPr>
        <w:spacing w:after="0" w:line="240" w:lineRule="auto"/>
      </w:pPr>
      <w:r>
        <w:separator/>
      </w:r>
    </w:p>
  </w:footnote>
  <w:footnote w:type="continuationSeparator" w:id="0">
    <w:p w:rsidR="008C573B" w:rsidRDefault="008C573B" w:rsidP="00B678DB">
      <w:pPr>
        <w:spacing w:after="0" w:line="240" w:lineRule="auto"/>
      </w:pPr>
      <w:r>
        <w:continuationSeparator/>
      </w:r>
    </w:p>
  </w:footnote>
  <w:footnote w:id="1">
    <w:p w:rsidR="002343D7" w:rsidRPr="00F24515" w:rsidRDefault="002343D7" w:rsidP="00B678DB">
      <w:pPr>
        <w:pStyle w:val="Rodap"/>
        <w:jc w:val="both"/>
        <w:rPr>
          <w:sz w:val="20"/>
        </w:rPr>
      </w:pPr>
      <w:r w:rsidRPr="00F24515">
        <w:rPr>
          <w:rStyle w:val="Refdenotaderodap"/>
          <w:sz w:val="20"/>
        </w:rPr>
        <w:footnoteRef/>
      </w:r>
      <w:r w:rsidRPr="00F24515">
        <w:rPr>
          <w:sz w:val="20"/>
        </w:rPr>
        <w:t xml:space="preserve"> O somatório dos domicílios considerados pobres com os não pobres não necessariamente será igual a 100% dos domicílios. Isso porque há domicílios que aprese taram insatisfação com alimentação, mas balanço calórico positivo, ou balanço calórico positivo e que se classificaram como insatisfeitos, não </w:t>
      </w:r>
      <w:proofErr w:type="gramStart"/>
      <w:r w:rsidRPr="00F24515">
        <w:rPr>
          <w:sz w:val="20"/>
        </w:rPr>
        <w:t>classificando-os</w:t>
      </w:r>
      <w:proofErr w:type="gramEnd"/>
      <w:r w:rsidRPr="00F24515">
        <w:rPr>
          <w:sz w:val="20"/>
        </w:rPr>
        <w:t xml:space="preserve"> nem como pobres, e nem como não pobres.</w:t>
      </w:r>
    </w:p>
    <w:p w:rsidR="002343D7" w:rsidRDefault="002343D7" w:rsidP="00B678DB">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418F3"/>
    <w:multiLevelType w:val="multilevel"/>
    <w:tmpl w:val="4DB46B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EC"/>
    <w:rsid w:val="000744EC"/>
    <w:rsid w:val="000E2D46"/>
    <w:rsid w:val="000F07C7"/>
    <w:rsid w:val="00185444"/>
    <w:rsid w:val="001A4CCB"/>
    <w:rsid w:val="002343D7"/>
    <w:rsid w:val="002362F3"/>
    <w:rsid w:val="0024002F"/>
    <w:rsid w:val="00276F6B"/>
    <w:rsid w:val="002B0134"/>
    <w:rsid w:val="00315981"/>
    <w:rsid w:val="00383A7C"/>
    <w:rsid w:val="003C6078"/>
    <w:rsid w:val="003F1BD6"/>
    <w:rsid w:val="004A02BA"/>
    <w:rsid w:val="00504B6E"/>
    <w:rsid w:val="00605FA1"/>
    <w:rsid w:val="00654A70"/>
    <w:rsid w:val="007352F3"/>
    <w:rsid w:val="00743C7F"/>
    <w:rsid w:val="007B60DE"/>
    <w:rsid w:val="007B702C"/>
    <w:rsid w:val="0081136E"/>
    <w:rsid w:val="008606FA"/>
    <w:rsid w:val="008C573B"/>
    <w:rsid w:val="008F3B4A"/>
    <w:rsid w:val="00914815"/>
    <w:rsid w:val="00A34631"/>
    <w:rsid w:val="00A466BA"/>
    <w:rsid w:val="00A876A5"/>
    <w:rsid w:val="00B422A5"/>
    <w:rsid w:val="00B678DB"/>
    <w:rsid w:val="00C535C0"/>
    <w:rsid w:val="00CA4528"/>
    <w:rsid w:val="00D63B93"/>
    <w:rsid w:val="00D77B9A"/>
    <w:rsid w:val="00D8172D"/>
    <w:rsid w:val="00D86239"/>
    <w:rsid w:val="00DB6C13"/>
    <w:rsid w:val="00DB7467"/>
    <w:rsid w:val="00DF6FD2"/>
    <w:rsid w:val="00EB11D7"/>
    <w:rsid w:val="00ED4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EC"/>
    <w:pPr>
      <w:spacing w:line="360" w:lineRule="auto"/>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13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136E"/>
    <w:rPr>
      <w:rFonts w:ascii="Tahoma" w:hAnsi="Tahoma" w:cs="Tahoma"/>
      <w:sz w:val="16"/>
      <w:szCs w:val="16"/>
    </w:rPr>
  </w:style>
  <w:style w:type="paragraph" w:styleId="Textodenotaderodap">
    <w:name w:val="footnote text"/>
    <w:basedOn w:val="Normal"/>
    <w:link w:val="TextodenotaderodapChar"/>
    <w:uiPriority w:val="99"/>
    <w:semiHidden/>
    <w:unhideWhenUsed/>
    <w:rsid w:val="00B678DB"/>
    <w:pPr>
      <w:spacing w:after="0" w:line="240" w:lineRule="auto"/>
    </w:pPr>
    <w:rPr>
      <w:rFonts w:asciiTheme="minorHAnsi" w:eastAsiaTheme="minorEastAsia" w:hAnsiTheme="minorHAnsi"/>
      <w:sz w:val="20"/>
      <w:szCs w:val="20"/>
      <w:lang w:eastAsia="pt-BR"/>
    </w:rPr>
  </w:style>
  <w:style w:type="character" w:customStyle="1" w:styleId="TextodenotaderodapChar">
    <w:name w:val="Texto de nota de rodapé Char"/>
    <w:basedOn w:val="Fontepargpadro"/>
    <w:link w:val="Textodenotaderodap"/>
    <w:uiPriority w:val="99"/>
    <w:semiHidden/>
    <w:rsid w:val="00B678DB"/>
    <w:rPr>
      <w:rFonts w:eastAsiaTheme="minorEastAsia"/>
      <w:sz w:val="20"/>
      <w:szCs w:val="20"/>
      <w:lang w:eastAsia="pt-BR"/>
    </w:rPr>
  </w:style>
  <w:style w:type="character" w:styleId="Refdenotaderodap">
    <w:name w:val="footnote reference"/>
    <w:basedOn w:val="Fontepargpadro"/>
    <w:uiPriority w:val="99"/>
    <w:semiHidden/>
    <w:unhideWhenUsed/>
    <w:rsid w:val="00B678DB"/>
    <w:rPr>
      <w:vertAlign w:val="superscript"/>
    </w:rPr>
  </w:style>
  <w:style w:type="paragraph" w:styleId="Rodap">
    <w:name w:val="footer"/>
    <w:basedOn w:val="Normal"/>
    <w:link w:val="RodapChar"/>
    <w:uiPriority w:val="99"/>
    <w:unhideWhenUsed/>
    <w:rsid w:val="00B678DB"/>
    <w:pPr>
      <w:tabs>
        <w:tab w:val="center" w:pos="4252"/>
        <w:tab w:val="right" w:pos="8504"/>
      </w:tabs>
      <w:spacing w:after="0" w:line="240" w:lineRule="auto"/>
    </w:pPr>
  </w:style>
  <w:style w:type="character" w:customStyle="1" w:styleId="RodapChar">
    <w:name w:val="Rodapé Char"/>
    <w:basedOn w:val="Fontepargpadro"/>
    <w:link w:val="Rodap"/>
    <w:uiPriority w:val="99"/>
    <w:rsid w:val="00B678DB"/>
    <w:rPr>
      <w:rFonts w:ascii="Times New Roman" w:hAnsi="Times New Roman"/>
      <w:sz w:val="24"/>
    </w:rPr>
  </w:style>
  <w:style w:type="paragraph" w:styleId="PargrafodaLista">
    <w:name w:val="List Paragraph"/>
    <w:basedOn w:val="Normal"/>
    <w:uiPriority w:val="34"/>
    <w:qFormat/>
    <w:rsid w:val="000E2D46"/>
    <w:pPr>
      <w:ind w:left="720"/>
      <w:contextualSpacing/>
    </w:pPr>
  </w:style>
  <w:style w:type="character" w:styleId="Hyperlink">
    <w:name w:val="Hyperlink"/>
    <w:rsid w:val="004A02BA"/>
    <w:rPr>
      <w:color w:val="0000FF"/>
      <w:u w:val="single"/>
    </w:rPr>
  </w:style>
  <w:style w:type="character" w:styleId="nfase">
    <w:name w:val="Emphasis"/>
    <w:basedOn w:val="Fontepargpadro"/>
    <w:uiPriority w:val="20"/>
    <w:qFormat/>
    <w:rsid w:val="00605FA1"/>
    <w:rPr>
      <w:i/>
      <w:iCs/>
    </w:rPr>
  </w:style>
  <w:style w:type="character" w:customStyle="1" w:styleId="apple-converted-space">
    <w:name w:val="apple-converted-space"/>
    <w:basedOn w:val="Fontepargpadro"/>
    <w:rsid w:val="00605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EC"/>
    <w:pPr>
      <w:spacing w:line="360" w:lineRule="auto"/>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13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136E"/>
    <w:rPr>
      <w:rFonts w:ascii="Tahoma" w:hAnsi="Tahoma" w:cs="Tahoma"/>
      <w:sz w:val="16"/>
      <w:szCs w:val="16"/>
    </w:rPr>
  </w:style>
  <w:style w:type="paragraph" w:styleId="Textodenotaderodap">
    <w:name w:val="footnote text"/>
    <w:basedOn w:val="Normal"/>
    <w:link w:val="TextodenotaderodapChar"/>
    <w:uiPriority w:val="99"/>
    <w:semiHidden/>
    <w:unhideWhenUsed/>
    <w:rsid w:val="00B678DB"/>
    <w:pPr>
      <w:spacing w:after="0" w:line="240" w:lineRule="auto"/>
    </w:pPr>
    <w:rPr>
      <w:rFonts w:asciiTheme="minorHAnsi" w:eastAsiaTheme="minorEastAsia" w:hAnsiTheme="minorHAnsi"/>
      <w:sz w:val="20"/>
      <w:szCs w:val="20"/>
      <w:lang w:eastAsia="pt-BR"/>
    </w:rPr>
  </w:style>
  <w:style w:type="character" w:customStyle="1" w:styleId="TextodenotaderodapChar">
    <w:name w:val="Texto de nota de rodapé Char"/>
    <w:basedOn w:val="Fontepargpadro"/>
    <w:link w:val="Textodenotaderodap"/>
    <w:uiPriority w:val="99"/>
    <w:semiHidden/>
    <w:rsid w:val="00B678DB"/>
    <w:rPr>
      <w:rFonts w:eastAsiaTheme="minorEastAsia"/>
      <w:sz w:val="20"/>
      <w:szCs w:val="20"/>
      <w:lang w:eastAsia="pt-BR"/>
    </w:rPr>
  </w:style>
  <w:style w:type="character" w:styleId="Refdenotaderodap">
    <w:name w:val="footnote reference"/>
    <w:basedOn w:val="Fontepargpadro"/>
    <w:uiPriority w:val="99"/>
    <w:semiHidden/>
    <w:unhideWhenUsed/>
    <w:rsid w:val="00B678DB"/>
    <w:rPr>
      <w:vertAlign w:val="superscript"/>
    </w:rPr>
  </w:style>
  <w:style w:type="paragraph" w:styleId="Rodap">
    <w:name w:val="footer"/>
    <w:basedOn w:val="Normal"/>
    <w:link w:val="RodapChar"/>
    <w:uiPriority w:val="99"/>
    <w:unhideWhenUsed/>
    <w:rsid w:val="00B678DB"/>
    <w:pPr>
      <w:tabs>
        <w:tab w:val="center" w:pos="4252"/>
        <w:tab w:val="right" w:pos="8504"/>
      </w:tabs>
      <w:spacing w:after="0" w:line="240" w:lineRule="auto"/>
    </w:pPr>
  </w:style>
  <w:style w:type="character" w:customStyle="1" w:styleId="RodapChar">
    <w:name w:val="Rodapé Char"/>
    <w:basedOn w:val="Fontepargpadro"/>
    <w:link w:val="Rodap"/>
    <w:uiPriority w:val="99"/>
    <w:rsid w:val="00B678DB"/>
    <w:rPr>
      <w:rFonts w:ascii="Times New Roman" w:hAnsi="Times New Roman"/>
      <w:sz w:val="24"/>
    </w:rPr>
  </w:style>
  <w:style w:type="paragraph" w:styleId="PargrafodaLista">
    <w:name w:val="List Paragraph"/>
    <w:basedOn w:val="Normal"/>
    <w:uiPriority w:val="34"/>
    <w:qFormat/>
    <w:rsid w:val="000E2D46"/>
    <w:pPr>
      <w:ind w:left="720"/>
      <w:contextualSpacing/>
    </w:pPr>
  </w:style>
  <w:style w:type="character" w:styleId="Hyperlink">
    <w:name w:val="Hyperlink"/>
    <w:rsid w:val="004A02BA"/>
    <w:rPr>
      <w:color w:val="0000FF"/>
      <w:u w:val="single"/>
    </w:rPr>
  </w:style>
  <w:style w:type="character" w:styleId="nfase">
    <w:name w:val="Emphasis"/>
    <w:basedOn w:val="Fontepargpadro"/>
    <w:uiPriority w:val="20"/>
    <w:qFormat/>
    <w:rsid w:val="00605FA1"/>
    <w:rPr>
      <w:i/>
      <w:iCs/>
    </w:rPr>
  </w:style>
  <w:style w:type="character" w:customStyle="1" w:styleId="apple-converted-space">
    <w:name w:val="apple-converted-space"/>
    <w:basedOn w:val="Fontepargpadro"/>
    <w:rsid w:val="00605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2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citoaugusto@yahoo.com.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df.wri.org/n4b_fulltext_hi.pdf" TargetMode="External"/><Relationship Id="rId5" Type="http://schemas.openxmlformats.org/officeDocument/2006/relationships/webSettings" Target="webSettings.xml"/><Relationship Id="rId10" Type="http://schemas.openxmlformats.org/officeDocument/2006/relationships/hyperlink" Target="mailto:lenfigueiredo@yahoo.com.br" TargetMode="External"/><Relationship Id="rId4" Type="http://schemas.openxmlformats.org/officeDocument/2006/relationships/settings" Target="settings.xml"/><Relationship Id="rId9" Type="http://schemas.openxmlformats.org/officeDocument/2006/relationships/hyperlink" Target="mailto:wagnernobrega@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23</Pages>
  <Words>6940</Words>
  <Characters>37480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figueiredo</dc:creator>
  <cp:lastModifiedBy>TÁCITO</cp:lastModifiedBy>
  <cp:revision>4</cp:revision>
  <dcterms:created xsi:type="dcterms:W3CDTF">2014-07-17T22:33:00Z</dcterms:created>
  <dcterms:modified xsi:type="dcterms:W3CDTF">2014-07-24T00:39:00Z</dcterms:modified>
</cp:coreProperties>
</file>