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76" w:rsidRPr="001D71BF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Tabela 1.</w:t>
      </w:r>
      <w:r w:rsidRPr="001D71BF">
        <w:rPr>
          <w:rFonts w:ascii="Verdana" w:hAnsi="Verdana"/>
          <w:sz w:val="24"/>
          <w:szCs w:val="24"/>
        </w:rPr>
        <w:t xml:space="preserve"> Distribuição da representação dos estímulos (figuras, nomes de objetos e nomes de pessoas) de acordo com as classes de equivalência resultantes.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2410"/>
        <w:gridCol w:w="2410"/>
      </w:tblGrid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Classes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Estímulos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A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(Figuras)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B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(Nomes de objetos)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C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(Nomes de pessoas)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962"/>
          <w:jc w:val="center"/>
        </w:trPr>
        <w:tc>
          <w:tcPr>
            <w:tcW w:w="184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Imagem 1" descr="documentosAbstrat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Abstrat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jaqueta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Odair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979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676275" cy="647700"/>
                  <wp:effectExtent l="19050" t="0" r="9525" b="0"/>
                  <wp:docPr id="2" name="Imagem 2" descr="documentosAbstrata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umentosAbstrata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manta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Teresa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951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466725" cy="628650"/>
                  <wp:effectExtent l="19050" t="0" r="9525" b="0"/>
                  <wp:docPr id="3" name="Imagem 3" descr="documentosAbstrat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Abstrat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bote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Raul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400050" cy="600075"/>
                  <wp:effectExtent l="19050" t="0" r="0" b="0"/>
                  <wp:docPr id="4" name="Imagem 4" descr="documentosAbstrata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cumentosAbstrata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toalha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Ivani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1034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704850" cy="590550"/>
                  <wp:effectExtent l="19050" t="0" r="0" b="0"/>
                  <wp:docPr id="5" name="Imagem 5" descr="documentosAbstratas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cumentosAbstratas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violino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Laura</w:t>
            </w:r>
          </w:p>
        </w:tc>
      </w:tr>
      <w:tr w:rsidR="007A5576" w:rsidRPr="001D71BF" w:rsidTr="00EC3556">
        <w:tblPrEx>
          <w:tblCellMar>
            <w:top w:w="0" w:type="dxa"/>
            <w:bottom w:w="0" w:type="dxa"/>
          </w:tblCellMar>
        </w:tblPrEx>
        <w:trPr>
          <w:cantSplit/>
          <w:trHeight w:val="993"/>
          <w:jc w:val="center"/>
        </w:trPr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390525" cy="533400"/>
                  <wp:effectExtent l="19050" t="0" r="9525" b="0"/>
                  <wp:docPr id="6" name="Imagem 6" descr="documentosAbstrat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cumentosAbstrat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selo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Valdir</w:t>
            </w:r>
          </w:p>
        </w:tc>
      </w:tr>
    </w:tbl>
    <w:p w:rsidR="007A5576" w:rsidRPr="001D71BF" w:rsidRDefault="007A5576" w:rsidP="007A5576">
      <w:pPr>
        <w:widowControl w:val="0"/>
        <w:jc w:val="both"/>
        <w:rPr>
          <w:rFonts w:ascii="Verdana" w:hAnsi="Verdana"/>
          <w:sz w:val="24"/>
          <w:szCs w:val="24"/>
        </w:rPr>
      </w:pPr>
    </w:p>
    <w:p w:rsidR="007A5576" w:rsidRPr="001D71BF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  <w:lang w:val="en-US"/>
        </w:rPr>
      </w:pPr>
      <w:r w:rsidRPr="001D71BF">
        <w:rPr>
          <w:rFonts w:ascii="Verdana" w:hAnsi="Verdana"/>
          <w:sz w:val="24"/>
          <w:szCs w:val="24"/>
        </w:rPr>
        <w:br w:type="page"/>
      </w:r>
    </w:p>
    <w:p w:rsidR="007A5576" w:rsidRPr="001D71BF" w:rsidRDefault="007A5576" w:rsidP="007A5576">
      <w:pPr>
        <w:widowControl w:val="0"/>
        <w:tabs>
          <w:tab w:val="left" w:pos="1635"/>
        </w:tabs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Tabela 2.</w:t>
      </w:r>
      <w:r w:rsidRPr="001D71BF">
        <w:rPr>
          <w:rFonts w:ascii="Verdana" w:hAnsi="Verdana"/>
          <w:sz w:val="24"/>
          <w:szCs w:val="24"/>
        </w:rPr>
        <w:t xml:space="preserve"> Relação da seqüência de etapas e fases do procedimento</w:t>
      </w:r>
      <w:r>
        <w:rPr>
          <w:rFonts w:ascii="Verdana" w:hAnsi="Verdana"/>
          <w:sz w:val="24"/>
          <w:szCs w:val="24"/>
        </w:rPr>
        <w:t>.</w:t>
      </w:r>
    </w:p>
    <w:tbl>
      <w:tblPr>
        <w:tblW w:w="9083" w:type="dxa"/>
        <w:jc w:val="center"/>
        <w:tblInd w:w="196" w:type="dxa"/>
        <w:tblLayout w:type="fixed"/>
        <w:tblLook w:val="0000"/>
      </w:tblPr>
      <w:tblGrid>
        <w:gridCol w:w="1493"/>
        <w:gridCol w:w="774"/>
        <w:gridCol w:w="6713"/>
        <w:gridCol w:w="103"/>
      </w:tblGrid>
      <w:tr w:rsidR="007A5576" w:rsidRPr="001D71BF" w:rsidTr="00EC3556">
        <w:trPr>
          <w:cantSplit/>
          <w:jc w:val="center"/>
        </w:trPr>
        <w:tc>
          <w:tcPr>
            <w:tcW w:w="14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Etapas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Fases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Procedimento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4" w:type="dxa"/>
            <w:tcBorders>
              <w:top w:val="single" w:sz="12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16" w:type="dxa"/>
            <w:tcBorders>
              <w:top w:val="single" w:sz="12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Ensino das relações condicionais A1B1, A2B2, A3B3, A4B4, A5B5, A6B6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Testes de Linha de Base A1B1, A2B2, A3B3, A4B4, A5B5, A6B6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6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Ensino das relações condicionais A1C1, A2C2, A3C3, A4C4, A5C5, A6C6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Linha de Base A1C1, A2C2, A3C3, A4C4, A5C5, A6C6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(</w:t>
            </w: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  <w:r w:rsidRPr="001D71BF">
              <w:rPr>
                <w:rFonts w:ascii="Verdana" w:hAnsi="Verdana"/>
                <w:sz w:val="24"/>
                <w:szCs w:val="24"/>
              </w:rPr>
              <w:t xml:space="preserve"> dias após a Etapa 1)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16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livre)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6" w:type="dxa"/>
            <w:tcBorders>
              <w:top w:val="nil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com dicas)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16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B1A1, B2A2, B3A3, B4A4, B5A5, B6A6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C1A1, C2A2, C3A3, C4A4, C5A5, C6A6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16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B1C1, B2C2, B3C3, B4C4, B5C5, B6C6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C1B1, C2B2, C3B3, C4B4, C5B5, C6B6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 xml:space="preserve">(30 dias após a Etapa </w:t>
            </w: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  <w:r w:rsidRPr="001D71BF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16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livre)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6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com dicas)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16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B1A1, B2A2, B3A3, B4A4, B5A5, B6A6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C1A1, C2A2, C3A3, C4A4, C5A5, C6A6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16" w:type="dxa"/>
            <w:tcBorders>
              <w:left w:val="nil"/>
              <w:bottom w:val="single" w:sz="4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B1C1, B2C2, B3C3, B4C4, B5C5, B6C6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C1B1, C2B2, C3B3, C4B4, C5B5, C6B6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4</w:t>
            </w:r>
            <w:proofErr w:type="gramEnd"/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 a"/>
              </w:smartTagPr>
              <w:smartTag w:uri="urn:schemas-microsoft-com:office:smarttags" w:element="State">
                <w:smartTagPr>
                  <w:attr w:name="ProductID" w:val="2 a"/>
                </w:smartTagPr>
                <w:r w:rsidRPr="001D71BF">
                  <w:rPr>
                    <w:rFonts w:ascii="Verdana" w:hAnsi="Verdana"/>
                    <w:sz w:val="24"/>
                    <w:szCs w:val="24"/>
                  </w:rPr>
                  <w:t>2 a</w:t>
                </w:r>
              </w:smartTag>
            </w:smartTag>
            <w:r w:rsidRPr="001D71B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  <w:r w:rsidRPr="001D71BF">
              <w:rPr>
                <w:rFonts w:ascii="Verdana" w:hAnsi="Verdana"/>
                <w:sz w:val="24"/>
                <w:szCs w:val="24"/>
              </w:rPr>
              <w:t xml:space="preserve"> meses após a Etapa 1)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16" w:type="dxa"/>
            <w:tcBorders>
              <w:top w:val="single" w:sz="4" w:space="0" w:color="auto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livre)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6" w:type="dxa"/>
            <w:tcBorders>
              <w:top w:val="nil"/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Recordação (evocação com dicas)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16" w:type="dxa"/>
            <w:tcBorders>
              <w:left w:val="nil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B1A1, B2A2, B3A3, B4A4, B5A5, B6A6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Simetria C1A1, C2A2, C3A3, C4A4, C5A5, C6A6</w:t>
            </w:r>
          </w:p>
        </w:tc>
      </w:tr>
      <w:tr w:rsidR="007A5576" w:rsidRPr="001D71BF" w:rsidTr="00EC3556">
        <w:trPr>
          <w:gridAfter w:val="1"/>
          <w:wAfter w:w="99" w:type="dxa"/>
          <w:cantSplit/>
          <w:jc w:val="center"/>
        </w:trPr>
        <w:tc>
          <w:tcPr>
            <w:tcW w:w="149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2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71BF">
              <w:rPr>
                <w:rFonts w:ascii="Verdana" w:hAnsi="Verdan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16" w:type="dxa"/>
            <w:tcBorders>
              <w:left w:val="nil"/>
              <w:bottom w:val="single" w:sz="2" w:space="0" w:color="auto"/>
              <w:right w:val="nil"/>
            </w:tcBorders>
          </w:tcPr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B1C1, B2C2, B3C3, B4C4, B5C5, B6C6</w:t>
            </w:r>
          </w:p>
          <w:p w:rsidR="007A5576" w:rsidRPr="001D71BF" w:rsidRDefault="007A5576" w:rsidP="007A5576">
            <w:pPr>
              <w:widowControl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1D71BF">
              <w:rPr>
                <w:rFonts w:ascii="Verdana" w:hAnsi="Verdana"/>
                <w:sz w:val="24"/>
                <w:szCs w:val="24"/>
              </w:rPr>
              <w:t>Teste de Equivalência C1B1, C2B2, C3B3, C4B4, C5B5, C6B6</w:t>
            </w:r>
          </w:p>
        </w:tc>
      </w:tr>
    </w:tbl>
    <w:p w:rsidR="007A5576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7A5576" w:rsidRPr="001D71BF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</w:rPr>
      </w:pPr>
      <w:r w:rsidRPr="001D71BF">
        <w:rPr>
          <w:rFonts w:ascii="Verdana" w:hAnsi="Verdana"/>
          <w:sz w:val="24"/>
          <w:szCs w:val="24"/>
        </w:rPr>
        <w:lastRenderedPageBreak/>
        <w:t xml:space="preserve">Figura 1. Representação das porcentagens de respostas corretas nos testes de evocação com dicas, evocação livre, simetria e equivalência, realizados </w:t>
      </w:r>
      <w:proofErr w:type="gramStart"/>
      <w:r w:rsidRPr="001D71BF">
        <w:rPr>
          <w:rFonts w:ascii="Verdana" w:hAnsi="Verdana"/>
          <w:sz w:val="24"/>
          <w:szCs w:val="24"/>
        </w:rPr>
        <w:t>2</w:t>
      </w:r>
      <w:proofErr w:type="gramEnd"/>
      <w:r w:rsidRPr="001D71BF">
        <w:rPr>
          <w:rFonts w:ascii="Verdana" w:hAnsi="Verdana"/>
          <w:sz w:val="24"/>
          <w:szCs w:val="24"/>
        </w:rPr>
        <w:t xml:space="preserve"> dias (parte superior), 30 dias (parte central) e </w:t>
      </w:r>
      <w:smartTag w:uri="urn:schemas-microsoft-com:office:smarttags" w:element="metricconverter">
        <w:smartTagPr>
          <w:attr w:name="ProductID" w:val="60 a"/>
        </w:smartTagPr>
        <w:r w:rsidRPr="001D71BF">
          <w:rPr>
            <w:rFonts w:ascii="Verdana" w:hAnsi="Verdana"/>
            <w:sz w:val="24"/>
            <w:szCs w:val="24"/>
          </w:rPr>
          <w:t>60 a</w:t>
        </w:r>
      </w:smartTag>
      <w:r w:rsidRPr="001D71BF">
        <w:rPr>
          <w:rFonts w:ascii="Verdana" w:hAnsi="Verdana"/>
          <w:sz w:val="24"/>
          <w:szCs w:val="24"/>
        </w:rPr>
        <w:t xml:space="preserve"> 90 dias (parte inferior) após a Etapa 1.</w:t>
      </w:r>
    </w:p>
    <w:p w:rsidR="007A5576" w:rsidRPr="001D71BF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</w:rPr>
      </w:pPr>
      <w:r w:rsidRPr="001D71BF">
        <w:rPr>
          <w:rFonts w:ascii="Verdan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Porcentagem de acertos" style="position:absolute;left:0;text-align:left;margin-left:-46.8pt;margin-top:100.6pt;width:30pt;height:512.25pt;z-index:251660288" strokecolor="white">
            <v:textbox style="layout-flow:vertical;mso-layout-flow-alt:bottom-to-top;mso-next-textbox:#_x0000_s1026">
              <w:txbxContent>
                <w:p w:rsidR="007A5576" w:rsidRPr="00F06A68" w:rsidRDefault="007A5576" w:rsidP="007A55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Porcentagens</w:t>
                  </w:r>
                  <w:r w:rsidRPr="00F06A68">
                    <w:rPr>
                      <w:sz w:val="24"/>
                      <w:szCs w:val="24"/>
                    </w:rPr>
                    <w:t xml:space="preserve"> e certo</w:t>
                  </w:r>
                  <w:r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495925" cy="2619375"/>
            <wp:effectExtent l="0" t="0" r="0" b="0"/>
            <wp:docPr id="7" name="Obje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495925" cy="2619375"/>
            <wp:effectExtent l="0" t="0" r="0" b="0"/>
            <wp:docPr id="8" name="Objet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495925" cy="2667000"/>
            <wp:effectExtent l="0" t="0" r="0" b="0"/>
            <wp:docPr id="9" name="Objet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5576" w:rsidRPr="001D71BF" w:rsidRDefault="007A5576" w:rsidP="007A5576">
      <w:pPr>
        <w:widowControl w:val="0"/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567035" w:rsidRDefault="00567035"/>
    <w:sectPr w:rsidR="00567035" w:rsidSect="007A5576">
      <w:headerReference w:type="even" r:id="rId13"/>
      <w:headerReference w:type="default" r:id="rId14"/>
      <w:footerReference w:type="default" r:id="rId15"/>
      <w:pgSz w:w="12242" w:h="15842" w:code="1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7C" w:rsidRDefault="007A557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7C" w:rsidRDefault="007A55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47C" w:rsidRDefault="007A557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7C" w:rsidRDefault="007A55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F247C" w:rsidRDefault="007A5576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compat/>
  <w:rsids>
    <w:rsidRoot w:val="007A5576"/>
    <w:rsid w:val="00115F95"/>
    <w:rsid w:val="00567035"/>
    <w:rsid w:val="007A5576"/>
    <w:rsid w:val="0083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76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5576"/>
    <w:rPr>
      <w:rFonts w:ascii="Times New Roman" w:eastAsia="Times New Roman" w:hAnsi="Times New Roman" w:cs="Times New Roman"/>
      <w:szCs w:val="20"/>
      <w:lang w:eastAsia="pt-BR"/>
    </w:rPr>
  </w:style>
  <w:style w:type="character" w:styleId="Nmerodepgina">
    <w:name w:val="page number"/>
    <w:basedOn w:val="Fontepargpadro"/>
    <w:rsid w:val="007A5576"/>
  </w:style>
  <w:style w:type="paragraph" w:styleId="Rodap">
    <w:name w:val="footer"/>
    <w:basedOn w:val="Normal"/>
    <w:link w:val="RodapChar"/>
    <w:rsid w:val="007A55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A5576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5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pt-BR"/>
              <a:t>2 dias após a Etapa 1</a:t>
            </a:r>
          </a:p>
        </c:rich>
      </c:tx>
      <c:layout>
        <c:manualLayout>
          <c:xMode val="edge"/>
          <c:yMode val="edge"/>
          <c:x val="0.38692579505300362"/>
          <c:y val="1.8867924528301886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10600706713780918"/>
          <c:y val="0.26037735849056604"/>
          <c:w val="0.69787985865724389"/>
          <c:h val="0.5622641509433962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Evocação com dicas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C0C0C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66.669999999999987</c:v>
                </c:pt>
                <c:pt idx="4">
                  <c:v>50</c:v>
                </c:pt>
                <c:pt idx="5">
                  <c:v>66.669999999999987</c:v>
                </c:pt>
                <c:pt idx="6">
                  <c:v>100</c:v>
                </c:pt>
                <c:pt idx="7">
                  <c:v>66.669999999999987</c:v>
                </c:pt>
                <c:pt idx="8">
                  <c:v>66.669999999999987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Evocação livre</c:v>
                </c:pt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83.33</c:v>
                </c:pt>
                <c:pt idx="4">
                  <c:v>66.669999999999987</c:v>
                </c:pt>
                <c:pt idx="5">
                  <c:v>66.669999999999987</c:v>
                </c:pt>
                <c:pt idx="6">
                  <c:v>100</c:v>
                </c:pt>
                <c:pt idx="7">
                  <c:v>66.669999999999987</c:v>
                </c:pt>
                <c:pt idx="8">
                  <c:v>83.33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Teste de simetria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97.61999999999999</c:v>
                </c:pt>
                <c:pt idx="1">
                  <c:v>98.81</c:v>
                </c:pt>
                <c:pt idx="2">
                  <c:v>100</c:v>
                </c:pt>
                <c:pt idx="3">
                  <c:v>98.81</c:v>
                </c:pt>
                <c:pt idx="4">
                  <c:v>100</c:v>
                </c:pt>
                <c:pt idx="5">
                  <c:v>100</c:v>
                </c:pt>
                <c:pt idx="6">
                  <c:v>98.81</c:v>
                </c:pt>
                <c:pt idx="7">
                  <c:v>82.14</c:v>
                </c:pt>
                <c:pt idx="8">
                  <c:v>84.52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Teste de equivalência</c:v>
                </c:pt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100</c:v>
                </c:pt>
                <c:pt idx="1">
                  <c:v>98.81</c:v>
                </c:pt>
                <c:pt idx="2">
                  <c:v>98.81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67.86</c:v>
                </c:pt>
                <c:pt idx="8">
                  <c:v>69.05</c:v>
                </c:pt>
              </c:numCache>
            </c:numRef>
          </c:val>
        </c:ser>
        <c:axId val="83125376"/>
        <c:axId val="83126912"/>
      </c:barChart>
      <c:catAx>
        <c:axId val="831253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83126912"/>
        <c:crosses val="autoZero"/>
        <c:auto val="1"/>
        <c:lblAlgn val="ctr"/>
        <c:lblOffset val="100"/>
        <c:tickLblSkip val="1"/>
        <c:tickMarkSkip val="1"/>
      </c:catAx>
      <c:valAx>
        <c:axId val="83126912"/>
        <c:scaling>
          <c:orientation val="minMax"/>
          <c:max val="1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83125376"/>
        <c:crosses val="autoZero"/>
        <c:crossBetween val="between"/>
        <c:majorUnit val="20"/>
        <c:minorUnit val="4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378091872791516"/>
          <c:y val="0"/>
          <c:w val="0.28268551236749123"/>
          <c:h val="0.30943396226415104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t-B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pt-BR"/>
              <a:t>30 dias após a Etapa 1</a:t>
            </a:r>
          </a:p>
        </c:rich>
      </c:tx>
      <c:layout>
        <c:manualLayout>
          <c:xMode val="edge"/>
          <c:yMode val="edge"/>
          <c:x val="0.3798586572438164"/>
          <c:y val="1.8867924528301886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11130742049469965"/>
          <c:y val="0.26037735849056604"/>
          <c:w val="0.69434628975265"/>
          <c:h val="0.5547169811320754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Evocação com dicas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66.66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83.33</c:v>
                </c:pt>
                <c:pt idx="6">
                  <c:v>66.669999999999987</c:v>
                </c:pt>
                <c:pt idx="7">
                  <c:v>16.670000000000005</c:v>
                </c:pt>
                <c:pt idx="8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Evocação livre</c:v>
                </c:pt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66.66</c:v>
                </c:pt>
                <c:pt idx="1">
                  <c:v>100</c:v>
                </c:pt>
                <c:pt idx="2">
                  <c:v>100</c:v>
                </c:pt>
                <c:pt idx="3">
                  <c:v>83.33</c:v>
                </c:pt>
                <c:pt idx="4">
                  <c:v>100</c:v>
                </c:pt>
                <c:pt idx="5">
                  <c:v>66.669999999999987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Teste de simetria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98.81</c:v>
                </c:pt>
                <c:pt idx="1">
                  <c:v>96.43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98.81</c:v>
                </c:pt>
                <c:pt idx="6">
                  <c:v>86.9</c:v>
                </c:pt>
                <c:pt idx="7">
                  <c:v>75</c:v>
                </c:pt>
                <c:pt idx="8">
                  <c:v>79.760000000000005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Teste de equivalência</c:v>
                </c:pt>
              </c:strCache>
            </c:strRef>
          </c:tx>
          <c:spPr>
            <a:solidFill>
              <a:srgbClr val="80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97.61999999999999</c:v>
                </c:pt>
                <c:pt idx="1">
                  <c:v>100</c:v>
                </c:pt>
                <c:pt idx="2">
                  <c:v>98.81</c:v>
                </c:pt>
                <c:pt idx="3">
                  <c:v>100</c:v>
                </c:pt>
                <c:pt idx="4">
                  <c:v>98.81</c:v>
                </c:pt>
                <c:pt idx="5">
                  <c:v>100</c:v>
                </c:pt>
                <c:pt idx="6">
                  <c:v>65.48</c:v>
                </c:pt>
                <c:pt idx="7">
                  <c:v>53.57</c:v>
                </c:pt>
                <c:pt idx="8">
                  <c:v>64.290000000000006</c:v>
                </c:pt>
              </c:numCache>
            </c:numRef>
          </c:val>
        </c:ser>
        <c:axId val="80947072"/>
        <c:axId val="80948608"/>
      </c:barChart>
      <c:catAx>
        <c:axId val="809470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80948608"/>
        <c:crosses val="autoZero"/>
        <c:auto val="1"/>
        <c:lblAlgn val="ctr"/>
        <c:lblOffset val="100"/>
        <c:tickLblSkip val="1"/>
        <c:tickMarkSkip val="1"/>
      </c:catAx>
      <c:valAx>
        <c:axId val="80948608"/>
        <c:scaling>
          <c:orientation val="minMax"/>
          <c:max val="1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80947072"/>
        <c:crosses val="autoZero"/>
        <c:crossBetween val="between"/>
        <c:majorUnit val="20"/>
        <c:minorUnit val="4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pt-BR"/>
              <a:t>60 a 90 dias após a Etapa 1</a:t>
            </a:r>
          </a:p>
        </c:rich>
      </c:tx>
      <c:layout>
        <c:manualLayout>
          <c:xMode val="edge"/>
          <c:yMode val="edge"/>
          <c:x val="0.35512367491166086"/>
          <c:y val="1.8518518518518521E-2"/>
        </c:manualLayout>
      </c:layout>
      <c:spPr>
        <a:noFill/>
        <a:ln w="25401">
          <a:noFill/>
        </a:ln>
      </c:spPr>
    </c:title>
    <c:plotArea>
      <c:layout>
        <c:manualLayout>
          <c:layoutTarget val="inner"/>
          <c:xMode val="edge"/>
          <c:yMode val="edge"/>
          <c:x val="0.11130742049469965"/>
          <c:y val="0.25185185185185188"/>
          <c:w val="0.69434628975265"/>
          <c:h val="0.5666666666666665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Evocação com dicas</c:v>
                </c:pt>
              </c:strCache>
            </c:strRef>
          </c:tx>
          <c:spPr>
            <a:solidFill>
              <a:srgbClr val="C0C0C0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66.669999999999987</c:v>
                </c:pt>
                <c:pt idx="1">
                  <c:v>66.669999999999987</c:v>
                </c:pt>
                <c:pt idx="2">
                  <c:v>83.33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66.669999999999987</c:v>
                </c:pt>
                <c:pt idx="7">
                  <c:v>66.669999999999987</c:v>
                </c:pt>
                <c:pt idx="8">
                  <c:v>16.66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Evocação livre</c:v>
                </c:pt>
              </c:strCache>
            </c:strRef>
          </c:tx>
          <c:spPr>
            <a:solidFill>
              <a:srgbClr val="333333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66.669999999999987</c:v>
                </c:pt>
                <c:pt idx="1">
                  <c:v>66.669999999999987</c:v>
                </c:pt>
                <c:pt idx="2">
                  <c:v>66.669999999999987</c:v>
                </c:pt>
                <c:pt idx="3">
                  <c:v>100</c:v>
                </c:pt>
                <c:pt idx="4">
                  <c:v>100</c:v>
                </c:pt>
                <c:pt idx="5">
                  <c:v>83.33</c:v>
                </c:pt>
                <c:pt idx="6">
                  <c:v>100</c:v>
                </c:pt>
                <c:pt idx="7">
                  <c:v>100</c:v>
                </c:pt>
                <c:pt idx="8">
                  <c:v>66.669999999999987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Teste de simetria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75</c:v>
                </c:pt>
                <c:pt idx="1">
                  <c:v>98.81</c:v>
                </c:pt>
                <c:pt idx="2">
                  <c:v>98.81</c:v>
                </c:pt>
                <c:pt idx="3">
                  <c:v>100</c:v>
                </c:pt>
                <c:pt idx="4">
                  <c:v>100</c:v>
                </c:pt>
                <c:pt idx="5">
                  <c:v>98.81</c:v>
                </c:pt>
                <c:pt idx="6">
                  <c:v>83.33</c:v>
                </c:pt>
                <c:pt idx="7">
                  <c:v>83.33</c:v>
                </c:pt>
                <c:pt idx="8">
                  <c:v>72.61999999999999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Teste de equivalência</c:v>
                </c:pt>
              </c:strCache>
            </c:strRef>
          </c:tx>
          <c:spPr>
            <a:solidFill>
              <a:srgbClr val="808080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75</c:v>
                </c:pt>
                <c:pt idx="1">
                  <c:v>97.61999999999999</c:v>
                </c:pt>
                <c:pt idx="2">
                  <c:v>98.81</c:v>
                </c:pt>
                <c:pt idx="3">
                  <c:v>100</c:v>
                </c:pt>
                <c:pt idx="4">
                  <c:v>100</c:v>
                </c:pt>
                <c:pt idx="5">
                  <c:v>98.81</c:v>
                </c:pt>
                <c:pt idx="6">
                  <c:v>69.05</c:v>
                </c:pt>
                <c:pt idx="7">
                  <c:v>69.05</c:v>
                </c:pt>
                <c:pt idx="8">
                  <c:v>58.33</c:v>
                </c:pt>
              </c:numCache>
            </c:numRef>
          </c:val>
        </c:ser>
        <c:axId val="96973952"/>
        <c:axId val="156680192"/>
      </c:barChart>
      <c:catAx>
        <c:axId val="96973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Participantes</a:t>
                </a:r>
              </a:p>
            </c:rich>
          </c:tx>
          <c:layout>
            <c:manualLayout>
              <c:xMode val="edge"/>
              <c:yMode val="edge"/>
              <c:x val="0.38515901060070679"/>
              <c:y val="0.89629629629629637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156680192"/>
        <c:crosses val="autoZero"/>
        <c:auto val="1"/>
        <c:lblAlgn val="ctr"/>
        <c:lblOffset val="100"/>
        <c:tickLblSkip val="1"/>
        <c:tickMarkSkip val="1"/>
      </c:catAx>
      <c:valAx>
        <c:axId val="156680192"/>
        <c:scaling>
          <c:orientation val="minMax"/>
          <c:max val="1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96973952"/>
        <c:crosses val="autoZero"/>
        <c:crossBetween val="between"/>
        <c:majorUnit val="20"/>
        <c:minorUnit val="4"/>
      </c:valAx>
      <c:spPr>
        <a:noFill/>
        <a:ln w="25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120869</dc:creator>
  <cp:keywords/>
  <dc:description/>
  <cp:lastModifiedBy>120869</cp:lastModifiedBy>
  <cp:revision>1</cp:revision>
  <dcterms:created xsi:type="dcterms:W3CDTF">2010-04-12T19:06:00Z</dcterms:created>
  <dcterms:modified xsi:type="dcterms:W3CDTF">2010-04-12T19:13:00Z</dcterms:modified>
</cp:coreProperties>
</file>