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9C7" w:rsidRPr="004819C7" w:rsidRDefault="004819C7" w:rsidP="004819C7">
      <w:pPr>
        <w:pStyle w:val="SemEspaamento"/>
        <w:spacing w:line="360" w:lineRule="auto"/>
        <w:jc w:val="center"/>
        <w:rPr>
          <w:i/>
          <w:iCs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>Table 5: suggestion of innovation typology, with examples of social innovations</w:t>
      </w:r>
    </w:p>
    <w:tbl>
      <w:tblPr>
        <w:tblStyle w:val="Tabelacomgrade"/>
        <w:tblW w:w="9287" w:type="dxa"/>
        <w:tblInd w:w="-70" w:type="dxa"/>
        <w:tblCellMar>
          <w:left w:w="38" w:type="dxa"/>
        </w:tblCellMar>
        <w:tblLook w:val="04A0" w:firstRow="1" w:lastRow="0" w:firstColumn="1" w:lastColumn="0" w:noHBand="0" w:noVBand="1"/>
      </w:tblPr>
      <w:tblGrid>
        <w:gridCol w:w="2234"/>
        <w:gridCol w:w="1965"/>
        <w:gridCol w:w="167"/>
        <w:gridCol w:w="1798"/>
        <w:gridCol w:w="3123"/>
      </w:tblGrid>
      <w:tr w:rsidR="004819C7" w:rsidTr="00C952A7">
        <w:tc>
          <w:tcPr>
            <w:tcW w:w="9286" w:type="dxa"/>
            <w:gridSpan w:val="5"/>
            <w:shd w:val="clear" w:color="auto" w:fill="5B9BD5" w:themeFill="accent1"/>
            <w:tcMar>
              <w:left w:w="38" w:type="dxa"/>
            </w:tcMar>
          </w:tcPr>
          <w:p w:rsidR="004819C7" w:rsidRDefault="004819C7" w:rsidP="00C952A7">
            <w:pPr>
              <w:pStyle w:val="SemEspaamento"/>
              <w:spacing w:line="36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GB"/>
              </w:rPr>
              <w:t>INNOVATION</w:t>
            </w:r>
          </w:p>
        </w:tc>
      </w:tr>
      <w:tr w:rsidR="004819C7" w:rsidTr="00C952A7">
        <w:tc>
          <w:tcPr>
            <w:tcW w:w="4366" w:type="dxa"/>
            <w:gridSpan w:val="3"/>
            <w:shd w:val="clear" w:color="auto" w:fill="auto"/>
            <w:tcMar>
              <w:left w:w="38" w:type="dxa"/>
            </w:tcMar>
          </w:tcPr>
          <w:p w:rsidR="004819C7" w:rsidRDefault="004819C7" w:rsidP="00C952A7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4819C7" w:rsidRDefault="004819C7" w:rsidP="00C952A7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4300" distR="112395" simplePos="0" relativeHeight="251659264" behindDoc="0" locked="0" layoutInCell="1" allowOverlap="1" wp14:anchorId="2BFC143A" wp14:editId="00A0C7F2">
                      <wp:simplePos x="0" y="0"/>
                      <wp:positionH relativeFrom="column">
                        <wp:posOffset>1724025</wp:posOffset>
                      </wp:positionH>
                      <wp:positionV relativeFrom="paragraph">
                        <wp:posOffset>114300</wp:posOffset>
                      </wp:positionV>
                      <wp:extent cx="390525" cy="0"/>
                      <wp:effectExtent l="19050" t="58420" r="9525" b="55880"/>
                      <wp:wrapNone/>
                      <wp:docPr id="4" name="Connecteur droit avec flèch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89880" cy="360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936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00A534" id="Connecteur droit avec flèche 15" o:spid="_x0000_s1026" style="position:absolute;margin-left:135.75pt;margin-top:9pt;width:30.75pt;height:0;flip:x;z-index:251659264;visibility:visible;mso-wrap-style:square;mso-wrap-distance-left:9pt;mso-wrap-distance-top:0;mso-wrap-distance-right:8.85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" path="m,l21600,21600e" filled="f" stroked="f" strokeweight=".26mm">
                      <v:path arrowok="t"/>
                    </v:shape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2395" distR="114300" simplePos="0" relativeHeight="251660288" behindDoc="0" locked="0" layoutInCell="1" allowOverlap="1" wp14:anchorId="33233E58" wp14:editId="6A1B8EFC">
                      <wp:simplePos x="0" y="0"/>
                      <wp:positionH relativeFrom="column">
                        <wp:posOffset>1833880</wp:posOffset>
                      </wp:positionH>
                      <wp:positionV relativeFrom="paragraph">
                        <wp:posOffset>114300</wp:posOffset>
                      </wp:positionV>
                      <wp:extent cx="2190750" cy="0"/>
                      <wp:effectExtent l="9525" t="58420" r="19050" b="55880"/>
                      <wp:wrapNone/>
                      <wp:docPr id="5" name="Connecteur droit avec flèch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240" cy="360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936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8C8EC4" id="Connecteur droit avec flèche 16" o:spid="_x0000_s1026" style="position:absolute;margin-left:144.4pt;margin-top:9pt;width:172.5pt;height:0;z-index:251660288;visibility:visible;mso-wrap-style:square;mso-wrap-distance-left:8.85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" path="m,l21600,21600e" filled="f" stroked="f" strokeweight=".26mm">
                      <v:path arrowok="t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Economic</w:t>
            </w:r>
          </w:p>
          <w:p w:rsidR="004819C7" w:rsidRDefault="004819C7" w:rsidP="00C952A7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4819C7" w:rsidRDefault="004819C7" w:rsidP="00C952A7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Centrality of the economic dimension:</w:t>
            </w:r>
          </w:p>
          <w:p w:rsidR="004819C7" w:rsidRDefault="004819C7" w:rsidP="00C952A7">
            <w:pPr>
              <w:pStyle w:val="SemEspaamento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making profits, reducing costs</w:t>
            </w:r>
          </w:p>
          <w:p w:rsidR="004819C7" w:rsidRDefault="004819C7" w:rsidP="00C952A7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</w:p>
        </w:tc>
        <w:tc>
          <w:tcPr>
            <w:tcW w:w="4920" w:type="dxa"/>
            <w:gridSpan w:val="2"/>
            <w:shd w:val="clear" w:color="auto" w:fill="auto"/>
            <w:tcMar>
              <w:left w:w="38" w:type="dxa"/>
            </w:tcMar>
          </w:tcPr>
          <w:p w:rsidR="004819C7" w:rsidRDefault="004819C7" w:rsidP="00C952A7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4819C7" w:rsidRDefault="004819C7" w:rsidP="00C952A7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Social</w:t>
            </w:r>
          </w:p>
          <w:p w:rsidR="004819C7" w:rsidRDefault="004819C7" w:rsidP="00C952A7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4819C7" w:rsidRDefault="004819C7" w:rsidP="00C952A7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Centrality of the social dimension:</w:t>
            </w:r>
          </w:p>
          <w:p w:rsidR="004819C7" w:rsidRDefault="004819C7" w:rsidP="00C952A7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social transformation</w:t>
            </w:r>
          </w:p>
        </w:tc>
      </w:tr>
      <w:tr w:rsidR="004819C7" w:rsidTr="00C952A7">
        <w:tc>
          <w:tcPr>
            <w:tcW w:w="6163" w:type="dxa"/>
            <w:gridSpan w:val="4"/>
            <w:shd w:val="clear" w:color="auto" w:fill="auto"/>
            <w:tcMar>
              <w:left w:w="38" w:type="dxa"/>
            </w:tcMar>
          </w:tcPr>
          <w:p w:rsidR="004819C7" w:rsidRDefault="004819C7" w:rsidP="00C952A7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4819C7" w:rsidRDefault="004819C7" w:rsidP="00C952A7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4819C7" w:rsidRDefault="004819C7" w:rsidP="00C952A7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 the monetary sphere: public or private enterprises and not-for-profit organisations producing goods and services</w:t>
            </w:r>
          </w:p>
          <w:p w:rsidR="004819C7" w:rsidRDefault="004819C7" w:rsidP="00C952A7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4819C7" w:rsidRDefault="004819C7" w:rsidP="00C952A7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23" w:type="dxa"/>
            <w:vMerge w:val="restart"/>
            <w:shd w:val="clear" w:color="auto" w:fill="auto"/>
            <w:tcMar>
              <w:left w:w="38" w:type="dxa"/>
            </w:tcMar>
          </w:tcPr>
          <w:p w:rsidR="004819C7" w:rsidRDefault="004819C7" w:rsidP="00C952A7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4819C7" w:rsidRDefault="004819C7" w:rsidP="00C952A7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4819C7" w:rsidRDefault="004819C7" w:rsidP="00C952A7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 the non-monetary sphere:</w:t>
            </w:r>
          </w:p>
          <w:p w:rsidR="004819C7" w:rsidRDefault="004819C7" w:rsidP="00C952A7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civil society</w:t>
            </w:r>
          </w:p>
          <w:p w:rsidR="004819C7" w:rsidRDefault="004819C7" w:rsidP="00C952A7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4819C7" w:rsidRDefault="004819C7" w:rsidP="00C952A7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819C7" w:rsidTr="00C952A7">
        <w:tc>
          <w:tcPr>
            <w:tcW w:w="2234" w:type="dxa"/>
            <w:shd w:val="clear" w:color="auto" w:fill="auto"/>
            <w:tcMar>
              <w:left w:w="38" w:type="dxa"/>
            </w:tcMar>
          </w:tcPr>
          <w:p w:rsidR="004819C7" w:rsidRDefault="004819C7" w:rsidP="00C952A7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Technological</w:t>
            </w:r>
          </w:p>
        </w:tc>
        <w:tc>
          <w:tcPr>
            <w:tcW w:w="3929" w:type="dxa"/>
            <w:gridSpan w:val="3"/>
            <w:shd w:val="clear" w:color="auto" w:fill="auto"/>
            <w:tcMar>
              <w:left w:w="38" w:type="dxa"/>
            </w:tcMar>
          </w:tcPr>
          <w:p w:rsidR="004819C7" w:rsidRDefault="004819C7" w:rsidP="00C952A7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Non-technological</w:t>
            </w:r>
          </w:p>
        </w:tc>
        <w:tc>
          <w:tcPr>
            <w:tcW w:w="3123" w:type="dxa"/>
            <w:vMerge/>
            <w:shd w:val="clear" w:color="auto" w:fill="auto"/>
            <w:tcMar>
              <w:left w:w="38" w:type="dxa"/>
            </w:tcMar>
          </w:tcPr>
          <w:p w:rsidR="004819C7" w:rsidRDefault="004819C7" w:rsidP="00C952A7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819C7" w:rsidTr="00C952A7">
        <w:trPr>
          <w:trHeight w:val="1414"/>
        </w:trPr>
        <w:tc>
          <w:tcPr>
            <w:tcW w:w="2234" w:type="dxa"/>
            <w:shd w:val="clear" w:color="auto" w:fill="auto"/>
            <w:tcMar>
              <w:left w:w="38" w:type="dxa"/>
            </w:tcMar>
          </w:tcPr>
          <w:p w:rsidR="004819C7" w:rsidRDefault="004819C7" w:rsidP="00C952A7">
            <w:pPr>
              <w:pStyle w:val="SemEspaamento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Primary and secondary sector: </w:t>
            </w:r>
          </w:p>
          <w:p w:rsidR="004819C7" w:rsidRDefault="004819C7" w:rsidP="00C952A7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 Product.</w:t>
            </w:r>
          </w:p>
          <w:p w:rsidR="004819C7" w:rsidRDefault="004819C7" w:rsidP="00C952A7">
            <w:pPr>
              <w:pStyle w:val="SemEspaamento"/>
              <w:spacing w:line="276" w:lineRule="auto"/>
            </w:pPr>
            <w:r>
              <w:rPr>
                <w:rFonts w:ascii="Times New Roman" w:hAnsi="Times New Roman" w:cs="Times New Roman"/>
                <w:i/>
                <w:szCs w:val="24"/>
                <w:lang w:val="en-GB"/>
              </w:rPr>
              <w:t>Example for SI: eco-construction</w:t>
            </w:r>
          </w:p>
          <w:p w:rsidR="004819C7" w:rsidRDefault="004819C7" w:rsidP="00C952A7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 Process</w:t>
            </w:r>
          </w:p>
        </w:tc>
        <w:tc>
          <w:tcPr>
            <w:tcW w:w="1965" w:type="dxa"/>
            <w:shd w:val="clear" w:color="auto" w:fill="auto"/>
            <w:tcMar>
              <w:left w:w="38" w:type="dxa"/>
            </w:tcMar>
          </w:tcPr>
          <w:p w:rsidR="004819C7" w:rsidRDefault="004819C7" w:rsidP="00C952A7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Tertiary sector: </w:t>
            </w:r>
          </w:p>
          <w:p w:rsidR="004819C7" w:rsidRDefault="004819C7" w:rsidP="00C952A7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 Service</w:t>
            </w:r>
          </w:p>
          <w:p w:rsidR="004819C7" w:rsidRDefault="004819C7" w:rsidP="00C952A7">
            <w:pPr>
              <w:pStyle w:val="SemEspaamento"/>
              <w:spacing w:line="276" w:lineRule="auto"/>
            </w:pPr>
            <w:r>
              <w:rPr>
                <w:rFonts w:ascii="Times New Roman" w:hAnsi="Times New Roman" w:cs="Times New Roman"/>
                <w:i/>
                <w:szCs w:val="24"/>
                <w:lang w:val="en-GB"/>
              </w:rPr>
              <w:t>Example for SI: Equiphoria, Websourd</w:t>
            </w:r>
          </w:p>
          <w:p w:rsidR="004819C7" w:rsidRDefault="004819C7" w:rsidP="00C952A7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trike/>
                <w:color w:val="0000CC"/>
                <w:sz w:val="24"/>
                <w:szCs w:val="24"/>
                <w:lang w:val="en-GB"/>
              </w:rPr>
            </w:pPr>
          </w:p>
        </w:tc>
        <w:tc>
          <w:tcPr>
            <w:tcW w:w="1965" w:type="dxa"/>
            <w:gridSpan w:val="2"/>
            <w:shd w:val="clear" w:color="auto" w:fill="auto"/>
            <w:tcMar>
              <w:left w:w="38" w:type="dxa"/>
            </w:tcMar>
          </w:tcPr>
          <w:p w:rsidR="004819C7" w:rsidRDefault="004819C7" w:rsidP="00C952A7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All sectors:</w:t>
            </w:r>
          </w:p>
          <w:p w:rsidR="004819C7" w:rsidRDefault="004819C7" w:rsidP="00C952A7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 Marketing</w:t>
            </w:r>
          </w:p>
          <w:p w:rsidR="004819C7" w:rsidRDefault="004819C7" w:rsidP="00C952A7">
            <w:pPr>
              <w:pStyle w:val="SemEspaamento"/>
              <w:spacing w:line="276" w:lineRule="auto"/>
            </w:pPr>
            <w:r>
              <w:rPr>
                <w:rFonts w:ascii="Times New Roman" w:hAnsi="Times New Roman" w:cs="Times New Roman"/>
                <w:i/>
                <w:szCs w:val="24"/>
                <w:lang w:val="en-GB"/>
              </w:rPr>
              <w:t xml:space="preserve">Example for SI: French AMAPs (not-for-profit organisations for maintaining peasant farming)* </w:t>
            </w:r>
          </w:p>
          <w:p w:rsidR="004819C7" w:rsidRDefault="004819C7" w:rsidP="00C952A7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 Organisational</w:t>
            </w:r>
          </w:p>
          <w:p w:rsidR="004819C7" w:rsidRDefault="004819C7" w:rsidP="00C952A7">
            <w:pPr>
              <w:pStyle w:val="SemEspaamento"/>
              <w:spacing w:line="276" w:lineRule="auto"/>
            </w:pPr>
            <w:r>
              <w:rPr>
                <w:rFonts w:ascii="Times New Roman" w:hAnsi="Times New Roman" w:cs="Times New Roman"/>
                <w:i/>
                <w:szCs w:val="24"/>
                <w:lang w:val="en-GB"/>
              </w:rPr>
              <w:t>Example for SI: developers' working methods in the open-source computing sector</w:t>
            </w:r>
          </w:p>
          <w:p w:rsidR="004819C7" w:rsidRDefault="004819C7" w:rsidP="00C952A7">
            <w:pPr>
              <w:pStyle w:val="SemEspaamento"/>
              <w:spacing w:line="276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 Process</w:t>
            </w:r>
          </w:p>
        </w:tc>
        <w:tc>
          <w:tcPr>
            <w:tcW w:w="3122" w:type="dxa"/>
            <w:shd w:val="clear" w:color="auto" w:fill="auto"/>
            <w:tcMar>
              <w:left w:w="38" w:type="dxa"/>
            </w:tcMar>
          </w:tcPr>
          <w:p w:rsidR="004819C7" w:rsidRDefault="004819C7" w:rsidP="00C952A7">
            <w:pPr>
              <w:pStyle w:val="SemEspaamento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 Civil society’s organisations and social movements: innovation in organisational models and ways of thinking</w:t>
            </w:r>
          </w:p>
          <w:p w:rsidR="004819C7" w:rsidRDefault="004819C7" w:rsidP="00C952A7">
            <w:pPr>
              <w:pStyle w:val="SemEspaamento"/>
              <w:spacing w:line="276" w:lineRule="auto"/>
            </w:pPr>
            <w:r>
              <w:rPr>
                <w:rFonts w:ascii="Times New Roman" w:hAnsi="Times New Roman" w:cs="Times New Roman"/>
                <w:i/>
                <w:szCs w:val="24"/>
                <w:lang w:val="en-GB"/>
              </w:rPr>
              <w:t>Example for SI: from top-down logics of assistance to empowerment logics in charities</w:t>
            </w:r>
          </w:p>
          <w:p w:rsidR="004819C7" w:rsidRDefault="004819C7" w:rsidP="00C952A7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- Societal change: behaviours, lifestyles </w:t>
            </w:r>
          </w:p>
          <w:p w:rsidR="004819C7" w:rsidRDefault="004819C7" w:rsidP="00C952A7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/>
                <w:szCs w:val="24"/>
                <w:lang w:val="en-GB"/>
              </w:rPr>
              <w:t>Example for SI: eco-friendly behaviours</w:t>
            </w:r>
          </w:p>
        </w:tc>
      </w:tr>
    </w:tbl>
    <w:p w:rsidR="004819C7" w:rsidRDefault="004819C7" w:rsidP="004819C7">
      <w:p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  <w:lang w:val="en-GB"/>
        </w:rPr>
        <w:t>* AMAPs are consumer cooperatives that link consumers to a local farmer who delivers weekly fruit and vegetable boxes.</w:t>
      </w:r>
    </w:p>
    <w:p w:rsidR="004819C7" w:rsidRDefault="004819C7" w:rsidP="004819C7">
      <w:pPr>
        <w:pStyle w:val="SemEspaamento"/>
        <w:spacing w:line="276" w:lineRule="auto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Source: Elaborated by the author</w:t>
      </w:r>
    </w:p>
    <w:p w:rsidR="00BD0125" w:rsidRDefault="00BD0125">
      <w:bookmarkStart w:id="0" w:name="_GoBack"/>
      <w:bookmarkEnd w:id="0"/>
    </w:p>
    <w:sectPr w:rsidR="00BD01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C54" w:rsidRDefault="001C2C54" w:rsidP="001C2C54">
      <w:pPr>
        <w:spacing w:after="0" w:line="240" w:lineRule="auto"/>
      </w:pPr>
      <w:r>
        <w:separator/>
      </w:r>
    </w:p>
  </w:endnote>
  <w:endnote w:type="continuationSeparator" w:id="0">
    <w:p w:rsidR="001C2C54" w:rsidRDefault="001C2C54" w:rsidP="001C2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C54" w:rsidRDefault="001C2C5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C54" w:rsidRDefault="001C2C5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C54" w:rsidRDefault="001C2C5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C54" w:rsidRDefault="001C2C54" w:rsidP="001C2C54">
      <w:pPr>
        <w:spacing w:after="0" w:line="240" w:lineRule="auto"/>
      </w:pPr>
      <w:r>
        <w:separator/>
      </w:r>
    </w:p>
  </w:footnote>
  <w:footnote w:type="continuationSeparator" w:id="0">
    <w:p w:rsidR="001C2C54" w:rsidRDefault="001C2C54" w:rsidP="001C2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C54" w:rsidRDefault="001C2C5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C54" w:rsidRDefault="001C2C54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C54" w:rsidRDefault="001C2C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9C7"/>
    <w:rsid w:val="001C2C54"/>
    <w:rsid w:val="004819C7"/>
    <w:rsid w:val="00BD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19C7"/>
    <w:pPr>
      <w:spacing w:after="200" w:line="276" w:lineRule="auto"/>
    </w:pPr>
    <w:rPr>
      <w:rFonts w:ascii="Calibri" w:eastAsiaTheme="minorEastAsia" w:hAnsi="Calibri"/>
      <w:color w:val="00000A"/>
      <w:lang w:val="fr-FR" w:eastAsia="fr-F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mEspaamentoChar">
    <w:name w:val="Sem Espaçamento Char"/>
    <w:basedOn w:val="Fontepargpadro"/>
    <w:link w:val="SemEspaamento"/>
    <w:uiPriority w:val="1"/>
    <w:qFormat/>
    <w:rsid w:val="004819C7"/>
    <w:rPr>
      <w:rFonts w:eastAsiaTheme="minorEastAsia"/>
    </w:rPr>
  </w:style>
  <w:style w:type="paragraph" w:styleId="SemEspaamento">
    <w:name w:val="No Spacing"/>
    <w:link w:val="SemEspaamentoChar"/>
    <w:uiPriority w:val="1"/>
    <w:qFormat/>
    <w:rsid w:val="004819C7"/>
    <w:pPr>
      <w:spacing w:after="0" w:line="240" w:lineRule="auto"/>
    </w:pPr>
    <w:rPr>
      <w:rFonts w:eastAsiaTheme="minorEastAsia"/>
    </w:rPr>
  </w:style>
  <w:style w:type="table" w:styleId="Tabelacomgrade">
    <w:name w:val="Table Grid"/>
    <w:basedOn w:val="Tabelanormal"/>
    <w:uiPriority w:val="59"/>
    <w:rsid w:val="004819C7"/>
    <w:pPr>
      <w:spacing w:after="0" w:line="240" w:lineRule="auto"/>
    </w:pPr>
    <w:rPr>
      <w:sz w:val="20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C2C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2C54"/>
    <w:rPr>
      <w:rFonts w:ascii="Calibri" w:eastAsiaTheme="minorEastAsia" w:hAnsi="Calibri"/>
      <w:color w:val="00000A"/>
      <w:lang w:val="fr-FR" w:eastAsia="fr-FR"/>
    </w:rPr>
  </w:style>
  <w:style w:type="paragraph" w:styleId="Rodap">
    <w:name w:val="footer"/>
    <w:basedOn w:val="Normal"/>
    <w:link w:val="RodapChar"/>
    <w:uiPriority w:val="99"/>
    <w:unhideWhenUsed/>
    <w:rsid w:val="001C2C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2C54"/>
    <w:rPr>
      <w:rFonts w:ascii="Calibri" w:eastAsiaTheme="minorEastAsia" w:hAnsi="Calibri"/>
      <w:color w:val="00000A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2016-09-30T17:06:00Z</dcterms:created>
  <dcterms:modified xsi:type="dcterms:W3CDTF">2016-09-30T17:06:00Z</dcterms:modified>
</cp:coreProperties>
</file>