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F77" w:rsidRDefault="00514F77" w:rsidP="00514F77">
      <w:pPr>
        <w:spacing w:line="360" w:lineRule="auto"/>
        <w:jc w:val="center"/>
        <w:rPr>
          <w:i/>
          <w:iCs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>Table 4: suggestion of innovation typology</w:t>
      </w:r>
    </w:p>
    <w:tbl>
      <w:tblPr>
        <w:tblStyle w:val="Tabelacomgrade"/>
        <w:tblW w:w="9287" w:type="dxa"/>
        <w:tblInd w:w="-70" w:type="dxa"/>
        <w:tblCellMar>
          <w:left w:w="38" w:type="dxa"/>
        </w:tblCellMar>
        <w:tblLook w:val="04A0" w:firstRow="1" w:lastRow="0" w:firstColumn="1" w:lastColumn="0" w:noHBand="0" w:noVBand="1"/>
      </w:tblPr>
      <w:tblGrid>
        <w:gridCol w:w="2234"/>
        <w:gridCol w:w="1965"/>
        <w:gridCol w:w="167"/>
        <w:gridCol w:w="1798"/>
        <w:gridCol w:w="3123"/>
      </w:tblGrid>
      <w:tr w:rsidR="00514F77" w:rsidTr="00C952A7">
        <w:tc>
          <w:tcPr>
            <w:tcW w:w="9286" w:type="dxa"/>
            <w:gridSpan w:val="5"/>
            <w:shd w:val="clear" w:color="auto" w:fill="5B9BD5" w:themeFill="accent1"/>
            <w:tcMar>
              <w:left w:w="38" w:type="dxa"/>
            </w:tcMar>
          </w:tcPr>
          <w:p w:rsidR="00514F77" w:rsidRDefault="00514F77" w:rsidP="00C952A7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4"/>
                <w:lang w:val="en-GB"/>
              </w:rPr>
              <w:t>INNOVATION</w:t>
            </w:r>
          </w:p>
        </w:tc>
      </w:tr>
      <w:tr w:rsidR="00514F77" w:rsidTr="00C952A7">
        <w:tc>
          <w:tcPr>
            <w:tcW w:w="4366" w:type="dxa"/>
            <w:gridSpan w:val="3"/>
            <w:shd w:val="clear" w:color="auto" w:fill="auto"/>
            <w:tcMar>
              <w:left w:w="38" w:type="dxa"/>
            </w:tcMar>
          </w:tcPr>
          <w:p w:rsidR="00514F77" w:rsidRDefault="00514F77" w:rsidP="00C952A7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514F77" w:rsidRDefault="00514F77" w:rsidP="00C952A7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114300" distR="112395" simplePos="0" relativeHeight="251659264" behindDoc="0" locked="0" layoutInCell="1" allowOverlap="1" wp14:anchorId="1A1EEF32" wp14:editId="2FCB053E">
                      <wp:simplePos x="0" y="0"/>
                      <wp:positionH relativeFrom="column">
                        <wp:posOffset>1724025</wp:posOffset>
                      </wp:positionH>
                      <wp:positionV relativeFrom="paragraph">
                        <wp:posOffset>114300</wp:posOffset>
                      </wp:positionV>
                      <wp:extent cx="390525" cy="0"/>
                      <wp:effectExtent l="19050" t="58420" r="9525" b="55880"/>
                      <wp:wrapNone/>
                      <wp:docPr id="2" name="Connecteur droit avec flèch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89880" cy="360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936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063112" id="Connecteur droit avec flèche 11" o:spid="_x0000_s1026" style="position:absolute;margin-left:135.75pt;margin-top:9pt;width:30.75pt;height:0;flip:x;z-index:251659264;visibility:visible;mso-wrap-style:square;mso-wrap-distance-left:9pt;mso-wrap-distance-top:0;mso-wrap-distance-right:8.85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" path="m,l21600,21600e" filled="f" stroked="f" strokeweight=".26mm">
                      <v:path arrowok="t"/>
                    </v:shape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112395" distR="114300" simplePos="0" relativeHeight="251660288" behindDoc="0" locked="0" layoutInCell="1" allowOverlap="1" wp14:anchorId="1A94D838" wp14:editId="5B3794C3">
                      <wp:simplePos x="0" y="0"/>
                      <wp:positionH relativeFrom="column">
                        <wp:posOffset>1833880</wp:posOffset>
                      </wp:positionH>
                      <wp:positionV relativeFrom="paragraph">
                        <wp:posOffset>114300</wp:posOffset>
                      </wp:positionV>
                      <wp:extent cx="2190750" cy="0"/>
                      <wp:effectExtent l="9525" t="58420" r="19050" b="55880"/>
                      <wp:wrapNone/>
                      <wp:docPr id="3" name="Connecteur droit avec flèch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240" cy="360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936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59F5AF" id="Connecteur droit avec flèche 12" o:spid="_x0000_s1026" style="position:absolute;margin-left:144.4pt;margin-top:9pt;width:172.5pt;height:0;z-index:251660288;visibility:visible;mso-wrap-style:square;mso-wrap-distance-left:8.85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" path="m,l21600,21600e" filled="f" stroked="f" strokeweight=".26mm">
                      <v:path arrowok="t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Economic</w:t>
            </w:r>
          </w:p>
          <w:p w:rsidR="00514F77" w:rsidRDefault="00514F77" w:rsidP="00C952A7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514F77" w:rsidRDefault="00514F77" w:rsidP="00C952A7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Centrality of the economic dimension:</w:t>
            </w:r>
          </w:p>
          <w:p w:rsidR="00514F77" w:rsidRDefault="00514F77" w:rsidP="00C952A7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making profits, reducing costs</w:t>
            </w:r>
          </w:p>
        </w:tc>
        <w:tc>
          <w:tcPr>
            <w:tcW w:w="4920" w:type="dxa"/>
            <w:gridSpan w:val="2"/>
            <w:shd w:val="clear" w:color="auto" w:fill="auto"/>
            <w:tcMar>
              <w:left w:w="38" w:type="dxa"/>
            </w:tcMar>
          </w:tcPr>
          <w:p w:rsidR="00514F77" w:rsidRDefault="00514F77" w:rsidP="00C952A7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514F77" w:rsidRDefault="00514F77" w:rsidP="00C952A7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Social</w:t>
            </w:r>
          </w:p>
          <w:p w:rsidR="00514F77" w:rsidRDefault="00514F77" w:rsidP="00C952A7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514F77" w:rsidRDefault="00514F77" w:rsidP="00C952A7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Centrality of the social dimension:</w:t>
            </w:r>
          </w:p>
          <w:p w:rsidR="00514F77" w:rsidRDefault="00514F77" w:rsidP="00C952A7">
            <w:pPr>
              <w:pStyle w:val="SemEspaamento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social transformation</w:t>
            </w:r>
          </w:p>
          <w:p w:rsidR="00514F77" w:rsidRDefault="00514F77" w:rsidP="00C952A7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</w:p>
        </w:tc>
      </w:tr>
      <w:tr w:rsidR="00514F77" w:rsidTr="00C952A7">
        <w:tc>
          <w:tcPr>
            <w:tcW w:w="6163" w:type="dxa"/>
            <w:gridSpan w:val="4"/>
            <w:shd w:val="clear" w:color="auto" w:fill="auto"/>
            <w:tcMar>
              <w:left w:w="38" w:type="dxa"/>
            </w:tcMar>
          </w:tcPr>
          <w:p w:rsidR="00514F77" w:rsidRDefault="00514F77" w:rsidP="00C952A7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514F77" w:rsidRDefault="00514F77" w:rsidP="00C952A7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514F77" w:rsidRDefault="00514F77" w:rsidP="00C952A7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 the monetary sphere: public or private enterprises and not-for-profit organisations producing goods and services</w:t>
            </w:r>
          </w:p>
          <w:p w:rsidR="00514F77" w:rsidRDefault="00514F77" w:rsidP="00C952A7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514F77" w:rsidRDefault="00514F77" w:rsidP="00C952A7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23" w:type="dxa"/>
            <w:vMerge w:val="restart"/>
            <w:shd w:val="clear" w:color="auto" w:fill="auto"/>
            <w:tcMar>
              <w:left w:w="38" w:type="dxa"/>
            </w:tcMar>
          </w:tcPr>
          <w:p w:rsidR="00514F77" w:rsidRDefault="00514F77" w:rsidP="00C952A7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514F77" w:rsidRDefault="00514F77" w:rsidP="00C952A7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514F77" w:rsidRDefault="00514F77" w:rsidP="00C952A7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 the non-monetary sphere:</w:t>
            </w:r>
          </w:p>
          <w:p w:rsidR="00514F77" w:rsidRDefault="00514F77" w:rsidP="00C952A7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civil society</w:t>
            </w:r>
          </w:p>
          <w:p w:rsidR="00514F77" w:rsidRDefault="00514F77" w:rsidP="00C952A7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514F77" w:rsidRDefault="00514F77" w:rsidP="00C952A7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14F77" w:rsidTr="00C952A7">
        <w:tc>
          <w:tcPr>
            <w:tcW w:w="2234" w:type="dxa"/>
            <w:shd w:val="clear" w:color="auto" w:fill="auto"/>
            <w:tcMar>
              <w:left w:w="38" w:type="dxa"/>
            </w:tcMar>
          </w:tcPr>
          <w:p w:rsidR="00514F77" w:rsidRDefault="00514F77" w:rsidP="00C952A7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Technological</w:t>
            </w:r>
          </w:p>
        </w:tc>
        <w:tc>
          <w:tcPr>
            <w:tcW w:w="3929" w:type="dxa"/>
            <w:gridSpan w:val="3"/>
            <w:shd w:val="clear" w:color="auto" w:fill="auto"/>
            <w:tcMar>
              <w:left w:w="38" w:type="dxa"/>
            </w:tcMar>
          </w:tcPr>
          <w:p w:rsidR="00514F77" w:rsidRDefault="00514F77" w:rsidP="00C952A7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Non-technological</w:t>
            </w:r>
          </w:p>
        </w:tc>
        <w:tc>
          <w:tcPr>
            <w:tcW w:w="3123" w:type="dxa"/>
            <w:vMerge/>
            <w:shd w:val="clear" w:color="auto" w:fill="auto"/>
            <w:tcMar>
              <w:left w:w="38" w:type="dxa"/>
            </w:tcMar>
          </w:tcPr>
          <w:p w:rsidR="00514F77" w:rsidRDefault="00514F77" w:rsidP="00C952A7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14F77" w:rsidTr="00C952A7">
        <w:trPr>
          <w:trHeight w:val="1414"/>
        </w:trPr>
        <w:tc>
          <w:tcPr>
            <w:tcW w:w="2234" w:type="dxa"/>
            <w:shd w:val="clear" w:color="auto" w:fill="auto"/>
            <w:tcMar>
              <w:left w:w="38" w:type="dxa"/>
            </w:tcMar>
          </w:tcPr>
          <w:p w:rsidR="00514F77" w:rsidRDefault="00514F77" w:rsidP="00C952A7">
            <w:pPr>
              <w:pStyle w:val="SemEspaamento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Primary and secondary sector: </w:t>
            </w:r>
          </w:p>
          <w:p w:rsidR="00514F77" w:rsidRDefault="00514F77" w:rsidP="00C952A7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 Product</w:t>
            </w:r>
          </w:p>
          <w:p w:rsidR="00514F77" w:rsidRDefault="00514F77" w:rsidP="00C952A7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 Process</w:t>
            </w:r>
          </w:p>
        </w:tc>
        <w:tc>
          <w:tcPr>
            <w:tcW w:w="1965" w:type="dxa"/>
            <w:shd w:val="clear" w:color="auto" w:fill="auto"/>
            <w:tcMar>
              <w:left w:w="38" w:type="dxa"/>
            </w:tcMar>
          </w:tcPr>
          <w:p w:rsidR="00514F77" w:rsidRDefault="00514F77" w:rsidP="00C952A7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Tertiary sector: </w:t>
            </w:r>
          </w:p>
          <w:p w:rsidR="00514F77" w:rsidRDefault="00514F77" w:rsidP="00C952A7">
            <w:pPr>
              <w:pStyle w:val="SemEspaamento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 Service (innovation of product in the tertiary sector)</w:t>
            </w:r>
          </w:p>
          <w:p w:rsidR="00514F77" w:rsidRDefault="00514F77" w:rsidP="00C952A7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  <w:lang w:val="en-GB"/>
              </w:rPr>
            </w:pPr>
          </w:p>
        </w:tc>
        <w:tc>
          <w:tcPr>
            <w:tcW w:w="1965" w:type="dxa"/>
            <w:gridSpan w:val="2"/>
            <w:shd w:val="clear" w:color="auto" w:fill="auto"/>
            <w:tcMar>
              <w:left w:w="38" w:type="dxa"/>
            </w:tcMar>
          </w:tcPr>
          <w:p w:rsidR="00514F77" w:rsidRDefault="00514F77" w:rsidP="00C952A7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All sectors:</w:t>
            </w:r>
          </w:p>
          <w:p w:rsidR="00514F77" w:rsidRDefault="00514F77" w:rsidP="00C952A7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 Marketing</w:t>
            </w:r>
          </w:p>
          <w:p w:rsidR="00514F77" w:rsidRDefault="00514F77" w:rsidP="00C952A7">
            <w:pPr>
              <w:pStyle w:val="SemEspaamento"/>
              <w:spacing w:line="276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 Organisational</w:t>
            </w:r>
          </w:p>
          <w:p w:rsidR="00514F77" w:rsidRDefault="00514F77" w:rsidP="00C952A7">
            <w:pPr>
              <w:pStyle w:val="SemEspaamento"/>
              <w:spacing w:line="276" w:lineRule="auto"/>
              <w:jc w:val="both"/>
              <w:rPr>
                <w:color w:val="0000CC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 Process</w:t>
            </w:r>
          </w:p>
        </w:tc>
        <w:tc>
          <w:tcPr>
            <w:tcW w:w="3122" w:type="dxa"/>
            <w:shd w:val="clear" w:color="auto" w:fill="auto"/>
            <w:tcMar>
              <w:left w:w="38" w:type="dxa"/>
            </w:tcMar>
          </w:tcPr>
          <w:p w:rsidR="00514F77" w:rsidRDefault="00514F77" w:rsidP="00C952A7">
            <w:pPr>
              <w:pStyle w:val="SemEspaamento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 Civil society’s organisations and social movements: innovation in organisational models and ways of thinking</w:t>
            </w:r>
          </w:p>
          <w:p w:rsidR="00514F77" w:rsidRDefault="00514F77" w:rsidP="00C952A7">
            <w:pPr>
              <w:pStyle w:val="SemEspaamento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- Societal change: behaviours, lifestyles </w:t>
            </w:r>
          </w:p>
        </w:tc>
      </w:tr>
    </w:tbl>
    <w:p w:rsidR="00514F77" w:rsidRDefault="00514F77" w:rsidP="00514F77">
      <w:pPr>
        <w:pStyle w:val="SemEspaamento"/>
        <w:spacing w:line="276" w:lineRule="auto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Source: Elaborated by the author</w:t>
      </w:r>
    </w:p>
    <w:p w:rsidR="00BD0125" w:rsidRDefault="00BD0125">
      <w:bookmarkStart w:id="0" w:name="_GoBack"/>
      <w:bookmarkEnd w:id="0"/>
    </w:p>
    <w:sectPr w:rsidR="00BD01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4CA" w:rsidRDefault="006B64CA" w:rsidP="006B64CA">
      <w:pPr>
        <w:spacing w:after="0" w:line="240" w:lineRule="auto"/>
      </w:pPr>
      <w:r>
        <w:separator/>
      </w:r>
    </w:p>
  </w:endnote>
  <w:endnote w:type="continuationSeparator" w:id="0">
    <w:p w:rsidR="006B64CA" w:rsidRDefault="006B64CA" w:rsidP="006B6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4CA" w:rsidRDefault="006B64C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4CA" w:rsidRDefault="006B64C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4CA" w:rsidRDefault="006B64C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4CA" w:rsidRDefault="006B64CA" w:rsidP="006B64CA">
      <w:pPr>
        <w:spacing w:after="0" w:line="240" w:lineRule="auto"/>
      </w:pPr>
      <w:r>
        <w:separator/>
      </w:r>
    </w:p>
  </w:footnote>
  <w:footnote w:type="continuationSeparator" w:id="0">
    <w:p w:rsidR="006B64CA" w:rsidRDefault="006B64CA" w:rsidP="006B6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4CA" w:rsidRDefault="006B64C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4CA" w:rsidRDefault="006B64CA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4CA" w:rsidRDefault="006B64C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F77"/>
    <w:rsid w:val="00514F77"/>
    <w:rsid w:val="006B64CA"/>
    <w:rsid w:val="00BD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F77"/>
    <w:pPr>
      <w:spacing w:after="200" w:line="276" w:lineRule="auto"/>
    </w:pPr>
    <w:rPr>
      <w:rFonts w:ascii="Calibri" w:eastAsiaTheme="minorEastAsia" w:hAnsi="Calibri"/>
      <w:color w:val="00000A"/>
      <w:lang w:val="fr-FR" w:eastAsia="fr-F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mEspaamentoChar">
    <w:name w:val="Sem Espaçamento Char"/>
    <w:basedOn w:val="Fontepargpadro"/>
    <w:link w:val="SemEspaamento"/>
    <w:uiPriority w:val="1"/>
    <w:qFormat/>
    <w:rsid w:val="00514F77"/>
    <w:rPr>
      <w:rFonts w:eastAsiaTheme="minorEastAsia"/>
    </w:rPr>
  </w:style>
  <w:style w:type="paragraph" w:styleId="SemEspaamento">
    <w:name w:val="No Spacing"/>
    <w:link w:val="SemEspaamentoChar"/>
    <w:uiPriority w:val="1"/>
    <w:qFormat/>
    <w:rsid w:val="00514F77"/>
    <w:pPr>
      <w:spacing w:after="0" w:line="240" w:lineRule="auto"/>
    </w:pPr>
    <w:rPr>
      <w:rFonts w:eastAsiaTheme="minorEastAsia"/>
    </w:rPr>
  </w:style>
  <w:style w:type="table" w:styleId="Tabelacomgrade">
    <w:name w:val="Table Grid"/>
    <w:basedOn w:val="Tabelanormal"/>
    <w:uiPriority w:val="59"/>
    <w:rsid w:val="00514F77"/>
    <w:pPr>
      <w:spacing w:after="0" w:line="240" w:lineRule="auto"/>
    </w:pPr>
    <w:rPr>
      <w:sz w:val="20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B64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64CA"/>
    <w:rPr>
      <w:rFonts w:ascii="Calibri" w:eastAsiaTheme="minorEastAsia" w:hAnsi="Calibri"/>
      <w:color w:val="00000A"/>
      <w:lang w:val="fr-FR" w:eastAsia="fr-FR"/>
    </w:rPr>
  </w:style>
  <w:style w:type="paragraph" w:styleId="Rodap">
    <w:name w:val="footer"/>
    <w:basedOn w:val="Normal"/>
    <w:link w:val="RodapChar"/>
    <w:uiPriority w:val="99"/>
    <w:unhideWhenUsed/>
    <w:rsid w:val="006B64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64CA"/>
    <w:rPr>
      <w:rFonts w:ascii="Calibri" w:eastAsiaTheme="minorEastAsia" w:hAnsi="Calibri"/>
      <w:color w:val="00000A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654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2016-09-30T17:06:00Z</dcterms:created>
  <dcterms:modified xsi:type="dcterms:W3CDTF">2016-09-30T17:06:00Z</dcterms:modified>
</cp:coreProperties>
</file>