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19" w:rsidRPr="00F73319" w:rsidRDefault="00F73319" w:rsidP="00F73319">
      <w:pPr>
        <w:pStyle w:val="SemEspaamento"/>
        <w:spacing w:line="360" w:lineRule="auto"/>
        <w:jc w:val="center"/>
        <w:rPr>
          <w:i/>
          <w:iCs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Table 3: Djellal and Gallouj's innovation typology</w:t>
      </w:r>
    </w:p>
    <w:tbl>
      <w:tblPr>
        <w:tblStyle w:val="Tabelacomgrade"/>
        <w:tblW w:w="9287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877"/>
        <w:gridCol w:w="881"/>
        <w:gridCol w:w="885"/>
        <w:gridCol w:w="873"/>
        <w:gridCol w:w="981"/>
        <w:gridCol w:w="950"/>
        <w:gridCol w:w="561"/>
        <w:gridCol w:w="622"/>
        <w:gridCol w:w="882"/>
        <w:gridCol w:w="868"/>
        <w:gridCol w:w="907"/>
      </w:tblGrid>
      <w:tr w:rsidR="00F73319" w:rsidTr="00C952A7">
        <w:tc>
          <w:tcPr>
            <w:tcW w:w="3516" w:type="dxa"/>
            <w:gridSpan w:val="4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B0752" wp14:editId="4284AD4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-3175</wp:posOffset>
                      </wp:positionV>
                      <wp:extent cx="5885180" cy="2386965"/>
                      <wp:effectExtent l="0" t="0" r="10795" b="22860"/>
                      <wp:wrapNone/>
                      <wp:docPr id="1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4560" cy="238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custDash>
                                  <a:ds d="400000" sp="300000"/>
                                </a:custDash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B88F95" id="Rectangle 8" o:spid="_x0000_s1026" style="position:absolute;margin-left:-5.5pt;margin-top:-.25pt;width:463.4pt;height:18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" filled="f" strokecolor="black [3213]" strokeweight="1pt">
                      <v:stroke joinstyle="round"/>
                    </v:rect>
                  </w:pict>
                </mc:Fallback>
              </mc:AlternateContent>
            </w:r>
          </w:p>
          <w:p w:rsidR="00F73319" w:rsidRDefault="00F73319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Economic innovations</w:t>
            </w:r>
          </w:p>
          <w:p w:rsidR="00F73319" w:rsidRDefault="00F73319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769" w:type="dxa"/>
            <w:gridSpan w:val="7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73319" w:rsidRDefault="00F73319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Social innovations</w:t>
            </w:r>
          </w:p>
        </w:tc>
      </w:tr>
      <w:tr w:rsidR="00F73319" w:rsidTr="00C952A7">
        <w:tc>
          <w:tcPr>
            <w:tcW w:w="1758" w:type="dxa"/>
            <w:gridSpan w:val="2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Technological innovation within the enterprise</w:t>
            </w:r>
          </w:p>
        </w:tc>
        <w:tc>
          <w:tcPr>
            <w:tcW w:w="1758" w:type="dxa"/>
            <w:gridSpan w:val="2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Non-technological innovations within the enterprise</w:t>
            </w:r>
          </w:p>
        </w:tc>
        <w:tc>
          <w:tcPr>
            <w:tcW w:w="2488" w:type="dxa"/>
            <w:gridSpan w:val="3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Social innovations within the enterprise</w:t>
            </w:r>
          </w:p>
        </w:tc>
        <w:tc>
          <w:tcPr>
            <w:tcW w:w="3281" w:type="dxa"/>
            <w:gridSpan w:val="4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Social innovations within the state and civil society</w:t>
            </w:r>
          </w:p>
        </w:tc>
      </w:tr>
      <w:tr w:rsidR="00F73319" w:rsidTr="00C952A7">
        <w:trPr>
          <w:cantSplit/>
          <w:trHeight w:hRule="exact" w:val="1330"/>
        </w:trPr>
        <w:tc>
          <w:tcPr>
            <w:tcW w:w="878" w:type="dxa"/>
            <w:shd w:val="clear" w:color="auto" w:fill="auto"/>
            <w:tcMar>
              <w:left w:w="38" w:type="dxa"/>
            </w:tcMar>
            <w:textDirection w:val="btLr"/>
            <w:vAlign w:val="center"/>
          </w:tcPr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Product</w:t>
            </w:r>
          </w:p>
        </w:tc>
        <w:tc>
          <w:tcPr>
            <w:tcW w:w="881" w:type="dxa"/>
            <w:shd w:val="clear" w:color="auto" w:fill="auto"/>
            <w:tcMar>
              <w:left w:w="38" w:type="dxa"/>
            </w:tcMar>
            <w:textDirection w:val="btLr"/>
            <w:vAlign w:val="center"/>
          </w:tcPr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Process</w:t>
            </w:r>
          </w:p>
        </w:tc>
        <w:tc>
          <w:tcPr>
            <w:tcW w:w="885" w:type="dxa"/>
            <w:shd w:val="clear" w:color="auto" w:fill="auto"/>
            <w:tcMar>
              <w:left w:w="38" w:type="dxa"/>
            </w:tcMar>
            <w:textDirection w:val="btLr"/>
            <w:vAlign w:val="center"/>
          </w:tcPr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Organisation</w:t>
            </w:r>
          </w:p>
        </w:tc>
        <w:tc>
          <w:tcPr>
            <w:tcW w:w="868" w:type="dxa"/>
            <w:shd w:val="clear" w:color="auto" w:fill="auto"/>
            <w:tcMar>
              <w:left w:w="38" w:type="dxa"/>
            </w:tcMar>
            <w:textDirection w:val="btLr"/>
            <w:vAlign w:val="center"/>
          </w:tcPr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Marketing</w:t>
            </w:r>
          </w:p>
        </w:tc>
        <w:tc>
          <w:tcPr>
            <w:tcW w:w="982" w:type="dxa"/>
            <w:shd w:val="clear" w:color="auto" w:fill="auto"/>
            <w:tcMar>
              <w:left w:w="38" w:type="dxa"/>
            </w:tcMar>
            <w:textDirection w:val="btLr"/>
            <w:vAlign w:val="center"/>
          </w:tcPr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Participation</w:t>
            </w:r>
          </w:p>
        </w:tc>
        <w:tc>
          <w:tcPr>
            <w:tcW w:w="951" w:type="dxa"/>
            <w:shd w:val="clear" w:color="auto" w:fill="auto"/>
            <w:tcMar>
              <w:left w:w="38" w:type="dxa"/>
            </w:tcMar>
            <w:textDirection w:val="btLr"/>
            <w:vAlign w:val="center"/>
          </w:tcPr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Process</w:t>
            </w:r>
          </w:p>
        </w:tc>
        <w:tc>
          <w:tcPr>
            <w:tcW w:w="561" w:type="dxa"/>
            <w:shd w:val="clear" w:color="auto" w:fill="auto"/>
            <w:tcMar>
              <w:left w:w="38" w:type="dxa"/>
            </w:tcMar>
            <w:textDirection w:val="btLr"/>
            <w:vAlign w:val="center"/>
          </w:tcPr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Behaviours</w:t>
            </w:r>
          </w:p>
        </w:tc>
        <w:tc>
          <w:tcPr>
            <w:tcW w:w="623" w:type="dxa"/>
            <w:shd w:val="clear" w:color="auto" w:fill="auto"/>
            <w:tcMar>
              <w:left w:w="38" w:type="dxa"/>
            </w:tcMar>
            <w:textDirection w:val="btLr"/>
          </w:tcPr>
          <w:p w:rsidR="00F73319" w:rsidRDefault="00F73319" w:rsidP="00C952A7">
            <w:pPr>
              <w:pStyle w:val="SemEspaamento"/>
              <w:spacing w:line="360" w:lineRule="auto"/>
              <w:ind w:left="113" w:right="113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Participation</w:t>
            </w:r>
          </w:p>
        </w:tc>
        <w:tc>
          <w:tcPr>
            <w:tcW w:w="882" w:type="dxa"/>
            <w:shd w:val="clear" w:color="auto" w:fill="auto"/>
            <w:tcMar>
              <w:left w:w="38" w:type="dxa"/>
            </w:tcMar>
            <w:textDirection w:val="btLr"/>
            <w:vAlign w:val="center"/>
          </w:tcPr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Processes</w:t>
            </w:r>
          </w:p>
        </w:tc>
        <w:tc>
          <w:tcPr>
            <w:tcW w:w="868" w:type="dxa"/>
            <w:shd w:val="clear" w:color="auto" w:fill="auto"/>
            <w:tcMar>
              <w:left w:w="38" w:type="dxa"/>
            </w:tcMar>
            <w:textDirection w:val="btLr"/>
            <w:vAlign w:val="center"/>
          </w:tcPr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  <w:p w:rsidR="00F73319" w:rsidRDefault="00F73319" w:rsidP="00C952A7">
            <w:pPr>
              <w:pStyle w:val="SemEspaamento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Behaviours</w:t>
            </w:r>
          </w:p>
        </w:tc>
        <w:tc>
          <w:tcPr>
            <w:tcW w:w="906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73319" w:rsidTr="00C952A7">
        <w:tc>
          <w:tcPr>
            <w:tcW w:w="878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  <w:t xml:space="preserve">NT Product </w:t>
            </w:r>
          </w:p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  <w:t>(service)</w:t>
            </w:r>
          </w:p>
        </w:tc>
        <w:tc>
          <w:tcPr>
            <w:tcW w:w="868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  <w:t>Process</w:t>
            </w:r>
          </w:p>
        </w:tc>
        <w:tc>
          <w:tcPr>
            <w:tcW w:w="982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  <w:t>Product</w:t>
            </w:r>
          </w:p>
        </w:tc>
        <w:tc>
          <w:tcPr>
            <w:tcW w:w="951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  <w:t>Process</w:t>
            </w:r>
          </w:p>
        </w:tc>
        <w:tc>
          <w:tcPr>
            <w:tcW w:w="561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  <w:tc>
          <w:tcPr>
            <w:tcW w:w="623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  <w:tc>
          <w:tcPr>
            <w:tcW w:w="882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  <w:tc>
          <w:tcPr>
            <w:tcW w:w="868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  <w:tc>
          <w:tcPr>
            <w:tcW w:w="906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  <w:t xml:space="preserve">NT Product </w:t>
            </w:r>
          </w:p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  <w:t>(service)</w:t>
            </w:r>
          </w:p>
        </w:tc>
      </w:tr>
      <w:tr w:rsidR="00F73319" w:rsidTr="00C952A7">
        <w:tc>
          <w:tcPr>
            <w:tcW w:w="878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81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  <w:tc>
          <w:tcPr>
            <w:tcW w:w="868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  <w:tc>
          <w:tcPr>
            <w:tcW w:w="982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  <w:t>Marketing</w:t>
            </w:r>
          </w:p>
        </w:tc>
        <w:tc>
          <w:tcPr>
            <w:tcW w:w="951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  <w:t>NT Product</w:t>
            </w:r>
          </w:p>
          <w:p w:rsidR="00F73319" w:rsidRDefault="00F73319" w:rsidP="00C952A7">
            <w:pPr>
              <w:pStyle w:val="SemEspaamento"/>
              <w:spacing w:line="360" w:lineRule="auto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  <w:t>(service)</w:t>
            </w:r>
          </w:p>
        </w:tc>
        <w:tc>
          <w:tcPr>
            <w:tcW w:w="561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  <w:tc>
          <w:tcPr>
            <w:tcW w:w="623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  <w:tc>
          <w:tcPr>
            <w:tcW w:w="882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  <w:tc>
          <w:tcPr>
            <w:tcW w:w="868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  <w:tc>
          <w:tcPr>
            <w:tcW w:w="906" w:type="dxa"/>
            <w:shd w:val="clear" w:color="auto" w:fill="auto"/>
            <w:tcMar>
              <w:left w:w="38" w:type="dxa"/>
            </w:tcMar>
          </w:tcPr>
          <w:p w:rsidR="00F73319" w:rsidRDefault="00F73319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en-GB"/>
              </w:rPr>
            </w:pPr>
          </w:p>
        </w:tc>
      </w:tr>
    </w:tbl>
    <w:p w:rsidR="00F73319" w:rsidRDefault="00F73319" w:rsidP="00F73319">
      <w:pPr>
        <w:pStyle w:val="SemEspaamento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val="en-GB"/>
        </w:rPr>
        <w:t>NT = non technological</w:t>
      </w:r>
    </w:p>
    <w:p w:rsidR="00F73319" w:rsidRDefault="00F73319" w:rsidP="00F73319">
      <w:pPr>
        <w:pStyle w:val="SemEspaamento"/>
        <w:spacing w:line="36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Source: Djellal and Gallouj, 2012</w:t>
      </w:r>
    </w:p>
    <w:p w:rsidR="00BD0125" w:rsidRDefault="00BD0125">
      <w:bookmarkStart w:id="0" w:name="_GoBack"/>
      <w:bookmarkEnd w:id="0"/>
    </w:p>
    <w:sectPr w:rsidR="00BD01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C16" w:rsidRDefault="00EF4C16" w:rsidP="00EF4C16">
      <w:pPr>
        <w:spacing w:after="0" w:line="240" w:lineRule="auto"/>
      </w:pPr>
      <w:r>
        <w:separator/>
      </w:r>
    </w:p>
  </w:endnote>
  <w:endnote w:type="continuationSeparator" w:id="0">
    <w:p w:rsidR="00EF4C16" w:rsidRDefault="00EF4C16" w:rsidP="00EF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16" w:rsidRDefault="00EF4C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16" w:rsidRDefault="00EF4C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16" w:rsidRDefault="00EF4C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C16" w:rsidRDefault="00EF4C16" w:rsidP="00EF4C16">
      <w:pPr>
        <w:spacing w:after="0" w:line="240" w:lineRule="auto"/>
      </w:pPr>
      <w:r>
        <w:separator/>
      </w:r>
    </w:p>
  </w:footnote>
  <w:footnote w:type="continuationSeparator" w:id="0">
    <w:p w:rsidR="00EF4C16" w:rsidRDefault="00EF4C16" w:rsidP="00EF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16" w:rsidRDefault="00EF4C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16" w:rsidRDefault="00EF4C1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16" w:rsidRDefault="00EF4C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19"/>
    <w:rsid w:val="00BD0125"/>
    <w:rsid w:val="00EF4C16"/>
    <w:rsid w:val="00F7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319"/>
    <w:pPr>
      <w:spacing w:after="200" w:line="276" w:lineRule="auto"/>
    </w:pPr>
    <w:rPr>
      <w:rFonts w:ascii="Calibri" w:eastAsiaTheme="minorEastAsia" w:hAnsi="Calibri"/>
      <w:color w:val="00000A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F73319"/>
    <w:rPr>
      <w:rFonts w:eastAsiaTheme="minorEastAsia"/>
    </w:rPr>
  </w:style>
  <w:style w:type="paragraph" w:styleId="SemEspaamento">
    <w:name w:val="No Spacing"/>
    <w:link w:val="SemEspaamentoChar"/>
    <w:uiPriority w:val="1"/>
    <w:qFormat/>
    <w:rsid w:val="00F73319"/>
    <w:pPr>
      <w:spacing w:after="0" w:line="240" w:lineRule="auto"/>
    </w:pPr>
    <w:rPr>
      <w:rFonts w:eastAsiaTheme="minorEastAsia"/>
    </w:rPr>
  </w:style>
  <w:style w:type="table" w:styleId="Tabelacomgrade">
    <w:name w:val="Table Grid"/>
    <w:basedOn w:val="Tabelanormal"/>
    <w:uiPriority w:val="59"/>
    <w:rsid w:val="00F73319"/>
    <w:pPr>
      <w:spacing w:after="0" w:line="240" w:lineRule="auto"/>
    </w:pPr>
    <w:rPr>
      <w:sz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F4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C16"/>
    <w:rPr>
      <w:rFonts w:ascii="Calibri" w:eastAsiaTheme="minorEastAsia" w:hAnsi="Calibri"/>
      <w:color w:val="00000A"/>
      <w:lang w:val="fr-FR" w:eastAsia="fr-FR"/>
    </w:rPr>
  </w:style>
  <w:style w:type="paragraph" w:styleId="Rodap">
    <w:name w:val="footer"/>
    <w:basedOn w:val="Normal"/>
    <w:link w:val="RodapChar"/>
    <w:uiPriority w:val="99"/>
    <w:unhideWhenUsed/>
    <w:rsid w:val="00EF4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C16"/>
    <w:rPr>
      <w:rFonts w:ascii="Calibri" w:eastAsiaTheme="minorEastAsia" w:hAnsi="Calibri"/>
      <w:color w:val="00000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2016-09-30T17:05:00Z</dcterms:created>
  <dcterms:modified xsi:type="dcterms:W3CDTF">2016-09-30T17:05:00Z</dcterms:modified>
</cp:coreProperties>
</file>