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688" w:rsidRPr="00D828B7" w:rsidRDefault="00474688" w:rsidP="00474688">
      <w:pPr>
        <w:spacing w:line="240" w:lineRule="auto"/>
        <w:ind w:firstLine="0"/>
        <w:jc w:val="center"/>
        <w:rPr>
          <w:b/>
          <w:lang w:val="en-US"/>
        </w:rPr>
      </w:pPr>
      <w:r w:rsidRPr="00D828B7">
        <w:rPr>
          <w:b/>
          <w:lang w:val="en-US"/>
        </w:rPr>
        <w:t>TABLE 2</w:t>
      </w:r>
    </w:p>
    <w:p w:rsidR="00474688" w:rsidRPr="00D828B7" w:rsidRDefault="00474688" w:rsidP="00474688">
      <w:pPr>
        <w:spacing w:line="240" w:lineRule="auto"/>
        <w:ind w:firstLine="0"/>
        <w:jc w:val="center"/>
        <w:rPr>
          <w:b/>
          <w:lang w:val="en-US"/>
        </w:rPr>
      </w:pPr>
      <w:r w:rsidRPr="00D828B7">
        <w:rPr>
          <w:b/>
          <w:lang w:val="en-US"/>
        </w:rPr>
        <w:t>INCLUSION OR EXCLUSION CRITERIA</w:t>
      </w:r>
    </w:p>
    <w:tbl>
      <w:tblPr>
        <w:tblW w:w="4409" w:type="pct"/>
        <w:tblBorders>
          <w:top w:val="single" w:sz="4" w:space="0" w:color="auto"/>
          <w:bottom w:val="single" w:sz="4" w:space="0" w:color="auto"/>
        </w:tblBorders>
        <w:tblLook w:val="04A0" w:firstRow="1" w:lastRow="0" w:firstColumn="1" w:lastColumn="0" w:noHBand="0" w:noVBand="1"/>
      </w:tblPr>
      <w:tblGrid>
        <w:gridCol w:w="1786"/>
        <w:gridCol w:w="2598"/>
        <w:gridCol w:w="3115"/>
      </w:tblGrid>
      <w:tr w:rsidR="00474688" w:rsidRPr="00D828B7" w:rsidTr="00EC46FC">
        <w:trPr>
          <w:trHeight w:val="431"/>
        </w:trPr>
        <w:tc>
          <w:tcPr>
            <w:tcW w:w="1191" w:type="pct"/>
            <w:tcBorders>
              <w:top w:val="single" w:sz="4" w:space="0" w:color="auto"/>
              <w:bottom w:val="single" w:sz="4" w:space="0" w:color="auto"/>
            </w:tcBorders>
            <w:vAlign w:val="center"/>
          </w:tcPr>
          <w:p w:rsidR="00474688" w:rsidRPr="00D828B7" w:rsidRDefault="00474688" w:rsidP="00EC46FC">
            <w:pPr>
              <w:spacing w:line="240" w:lineRule="auto"/>
              <w:ind w:firstLine="0"/>
              <w:jc w:val="center"/>
              <w:rPr>
                <w:sz w:val="20"/>
                <w:szCs w:val="20"/>
                <w:lang w:val="en-US"/>
              </w:rPr>
            </w:pPr>
            <w:r w:rsidRPr="00D828B7">
              <w:rPr>
                <w:sz w:val="20"/>
                <w:szCs w:val="20"/>
                <w:lang w:val="en-US"/>
              </w:rPr>
              <w:t>Inclusion criteria</w:t>
            </w:r>
          </w:p>
        </w:tc>
        <w:tc>
          <w:tcPr>
            <w:tcW w:w="1732" w:type="pct"/>
            <w:tcBorders>
              <w:top w:val="single" w:sz="4" w:space="0" w:color="auto"/>
              <w:bottom w:val="single" w:sz="4" w:space="0" w:color="auto"/>
            </w:tcBorders>
            <w:vAlign w:val="center"/>
          </w:tcPr>
          <w:p w:rsidR="00474688" w:rsidRPr="00D828B7" w:rsidRDefault="00474688" w:rsidP="00EC46FC">
            <w:pPr>
              <w:spacing w:line="240" w:lineRule="auto"/>
              <w:ind w:firstLine="0"/>
              <w:jc w:val="center"/>
              <w:rPr>
                <w:sz w:val="20"/>
                <w:szCs w:val="20"/>
                <w:lang w:val="en-US"/>
              </w:rPr>
            </w:pPr>
            <w:r w:rsidRPr="00D828B7">
              <w:rPr>
                <w:sz w:val="20"/>
                <w:szCs w:val="20"/>
                <w:lang w:val="en-US"/>
              </w:rPr>
              <w:t>Rationales</w:t>
            </w:r>
          </w:p>
        </w:tc>
        <w:tc>
          <w:tcPr>
            <w:tcW w:w="2077" w:type="pct"/>
            <w:tcBorders>
              <w:top w:val="single" w:sz="4" w:space="0" w:color="auto"/>
              <w:bottom w:val="single" w:sz="4" w:space="0" w:color="auto"/>
            </w:tcBorders>
            <w:vAlign w:val="center"/>
          </w:tcPr>
          <w:p w:rsidR="00474688" w:rsidRPr="00D828B7" w:rsidRDefault="00474688" w:rsidP="00EC46FC">
            <w:pPr>
              <w:spacing w:line="240" w:lineRule="auto"/>
              <w:ind w:firstLine="0"/>
              <w:jc w:val="center"/>
              <w:rPr>
                <w:sz w:val="20"/>
                <w:szCs w:val="20"/>
                <w:lang w:val="en-US"/>
              </w:rPr>
            </w:pPr>
            <w:r w:rsidRPr="00D828B7">
              <w:rPr>
                <w:sz w:val="20"/>
                <w:szCs w:val="20"/>
                <w:lang w:val="en-US"/>
              </w:rPr>
              <w:t>Articles excluded from analysis</w:t>
            </w:r>
          </w:p>
        </w:tc>
      </w:tr>
      <w:tr w:rsidR="00474688" w:rsidRPr="000B5005" w:rsidTr="00EC46FC">
        <w:trPr>
          <w:trHeight w:val="2063"/>
        </w:trPr>
        <w:tc>
          <w:tcPr>
            <w:tcW w:w="1191"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Qualitative case studies</w:t>
            </w:r>
          </w:p>
        </w:tc>
        <w:tc>
          <w:tcPr>
            <w:tcW w:w="1732"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This criterion was used in order to include only publications which demonstrate that using the case study method detailed description of the use of the method. The illustrative case studies with the aim of demonstrating the practical application of the concept were excluded from analysis.</w:t>
            </w:r>
          </w:p>
        </w:tc>
        <w:tc>
          <w:tcPr>
            <w:tcW w:w="2077"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Illustrative case examples (Simms, 2006; Raufflet, 2009; Herrera, 2015).</w:t>
            </w:r>
          </w:p>
        </w:tc>
      </w:tr>
      <w:tr w:rsidR="00474688" w:rsidRPr="000B5005" w:rsidTr="00EC46FC">
        <w:trPr>
          <w:trHeight w:val="2024"/>
        </w:trPr>
        <w:tc>
          <w:tcPr>
            <w:tcW w:w="1191"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SI concept related to Mulgan view (2006, p. 146) that considers SI as “innovative activities. and services that are motivated by the goal of meeting a social need”</w:t>
            </w:r>
          </w:p>
        </w:tc>
        <w:tc>
          <w:tcPr>
            <w:tcW w:w="1732"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This criterion was used in order to include only publications that were directly related to the concept of SI from Mulgan (2006).</w:t>
            </w:r>
          </w:p>
        </w:tc>
        <w:tc>
          <w:tcPr>
            <w:tcW w:w="2077"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Innovation in general scope with small references to SI (Mcloughlin &amp; Preece, 2010; Kinder, 2010; Witkamp, Raven &amp; Rayakkers, 2011; Fink, Lang &amp; Harms, 2013; Bas &amp; Guillo, 2015)</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p>
        </w:tc>
      </w:tr>
      <w:tr w:rsidR="00474688" w:rsidRPr="000B5005" w:rsidTr="00EC46FC">
        <w:tc>
          <w:tcPr>
            <w:tcW w:w="1191"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Focus in growth stage, expansion or scaling up a SI</w:t>
            </w:r>
          </w:p>
        </w:tc>
        <w:tc>
          <w:tcPr>
            <w:tcW w:w="1732"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This criterion was used in order to gather only the publications that addressed, even if indirectly, scalability process or extension of a SI. Although these articles treat the SI as Mulgan's (2006) concept, scalability phase has not been addressed in studies.</w:t>
            </w:r>
          </w:p>
        </w:tc>
        <w:tc>
          <w:tcPr>
            <w:tcW w:w="2077"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Social economy (Klein, Tremblay &amp; Bussieres, 2010).</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Focus on identifying SI opportunities and planning of social enterprises (Lettice&amp; Parekh, 2010)</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Importance of corporate philanthropy for the initial phase of the SI (Mclean, Harvey &amp; Gordon, 2013)</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Focus on stage identification of an opportunity to SI and the construction of a social enterprise. It does not address the development phases or scalability of a SI (Marcy, 2015).</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Conflict between organizational objectives focused on profitability and the generation of social value (Le Ber &amp; Branzei, 2010b)</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Pure description of the case “Fundacion Paraguaya” (Maak &amp; Stoetter, 2012)</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Knowledge management in SI (Clalmers &amp; Balan-Vnuk, 2013)</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Outsourcing of IT services as a way to SI (Sandeep &amp; Ravishankar, 2015);</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lastRenderedPageBreak/>
              <w:t>Focus on exploration of new areas of business (Igarashi &amp; Okada, 2015).</w:t>
            </w:r>
          </w:p>
          <w:p w:rsidR="00474688" w:rsidRPr="00D828B7" w:rsidRDefault="00474688" w:rsidP="00EC46FC">
            <w:pPr>
              <w:spacing w:line="240" w:lineRule="auto"/>
              <w:ind w:firstLine="0"/>
              <w:jc w:val="left"/>
              <w:rPr>
                <w:sz w:val="20"/>
                <w:szCs w:val="20"/>
                <w:lang w:val="en-US"/>
              </w:rPr>
            </w:pPr>
          </w:p>
          <w:p w:rsidR="00474688" w:rsidRPr="00D828B7" w:rsidRDefault="00474688" w:rsidP="00EC46FC">
            <w:pPr>
              <w:spacing w:line="240" w:lineRule="auto"/>
              <w:ind w:firstLine="0"/>
              <w:jc w:val="left"/>
              <w:rPr>
                <w:sz w:val="20"/>
                <w:szCs w:val="20"/>
                <w:lang w:val="en-US"/>
              </w:rPr>
            </w:pPr>
            <w:r w:rsidRPr="00D828B7">
              <w:rPr>
                <w:sz w:val="20"/>
                <w:szCs w:val="20"/>
                <w:lang w:val="en-US"/>
              </w:rPr>
              <w:t>Events for dissemination of SI (Citroni, 2015).</w:t>
            </w:r>
          </w:p>
        </w:tc>
      </w:tr>
      <w:tr w:rsidR="00474688" w:rsidRPr="000B5005" w:rsidTr="00EC46FC">
        <w:tc>
          <w:tcPr>
            <w:tcW w:w="1191"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lastRenderedPageBreak/>
              <w:t>Check Quality</w:t>
            </w:r>
          </w:p>
        </w:tc>
        <w:tc>
          <w:tcPr>
            <w:tcW w:w="1732"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Was sought to evaluate the articles for their complete description of the case, clear connection between theory and empirical evidence, multiple data sources, among other criteria related to the quality of the case studies according Eisenhardt (1989) and Yin (2009).</w:t>
            </w:r>
          </w:p>
        </w:tc>
        <w:tc>
          <w:tcPr>
            <w:tcW w:w="2077" w:type="pct"/>
            <w:tcBorders>
              <w:top w:val="single" w:sz="4" w:space="0" w:color="auto"/>
              <w:bottom w:val="single" w:sz="4" w:space="0" w:color="auto"/>
            </w:tcBorders>
            <w:vAlign w:val="center"/>
          </w:tcPr>
          <w:p w:rsidR="00474688" w:rsidRPr="00D828B7" w:rsidRDefault="00474688" w:rsidP="00EC46FC">
            <w:pPr>
              <w:spacing w:line="240" w:lineRule="auto"/>
              <w:ind w:firstLine="0"/>
              <w:jc w:val="left"/>
              <w:rPr>
                <w:sz w:val="20"/>
                <w:szCs w:val="20"/>
                <w:lang w:val="en-US"/>
              </w:rPr>
            </w:pPr>
            <w:r w:rsidRPr="00D828B7">
              <w:rPr>
                <w:sz w:val="20"/>
                <w:szCs w:val="20"/>
                <w:lang w:val="en-US"/>
              </w:rPr>
              <w:t>No further studies were excluded due to quality assessment.</w:t>
            </w:r>
          </w:p>
        </w:tc>
      </w:tr>
    </w:tbl>
    <w:p w:rsidR="00474688" w:rsidRPr="00D828B7" w:rsidRDefault="00474688" w:rsidP="00474688">
      <w:pPr>
        <w:ind w:firstLine="0"/>
        <w:jc w:val="center"/>
        <w:rPr>
          <w:sz w:val="20"/>
          <w:szCs w:val="20"/>
          <w:lang w:val="en-US"/>
        </w:rPr>
      </w:pPr>
      <w:r w:rsidRPr="00D828B7">
        <w:rPr>
          <w:sz w:val="20"/>
          <w:szCs w:val="20"/>
          <w:lang w:val="en-US"/>
        </w:rPr>
        <w:t xml:space="preserve">Source: </w:t>
      </w:r>
      <w:r>
        <w:rPr>
          <w:sz w:val="20"/>
          <w:szCs w:val="20"/>
          <w:lang w:val="en-US"/>
        </w:rPr>
        <w:t>Elaborated</w:t>
      </w:r>
      <w:r w:rsidRPr="00D828B7">
        <w:rPr>
          <w:sz w:val="20"/>
          <w:szCs w:val="20"/>
          <w:lang w:val="en-US"/>
        </w:rPr>
        <w:t xml:space="preserve"> by the authors from Hoon (2013)</w:t>
      </w:r>
    </w:p>
    <w:p w:rsidR="00F91552" w:rsidRPr="00474688" w:rsidRDefault="00F91552">
      <w:pPr>
        <w:rPr>
          <w:lang w:val="en-US"/>
        </w:rPr>
      </w:pPr>
      <w:bookmarkStart w:id="0" w:name="_GoBack"/>
      <w:bookmarkEnd w:id="0"/>
    </w:p>
    <w:sectPr w:rsidR="00F91552" w:rsidRPr="0047468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CA" w:rsidRDefault="005253CA" w:rsidP="005253CA">
      <w:pPr>
        <w:spacing w:line="240" w:lineRule="auto"/>
      </w:pPr>
      <w:r>
        <w:separator/>
      </w:r>
    </w:p>
  </w:endnote>
  <w:endnote w:type="continuationSeparator" w:id="0">
    <w:p w:rsidR="005253CA" w:rsidRDefault="005253CA" w:rsidP="00525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CA" w:rsidRDefault="005253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CA" w:rsidRDefault="005253C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CA" w:rsidRDefault="005253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CA" w:rsidRDefault="005253CA" w:rsidP="005253CA">
      <w:pPr>
        <w:spacing w:line="240" w:lineRule="auto"/>
      </w:pPr>
      <w:r>
        <w:separator/>
      </w:r>
    </w:p>
  </w:footnote>
  <w:footnote w:type="continuationSeparator" w:id="0">
    <w:p w:rsidR="005253CA" w:rsidRDefault="005253CA" w:rsidP="005253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CA" w:rsidRDefault="005253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CA" w:rsidRDefault="005253C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CA" w:rsidRDefault="005253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88"/>
    <w:rsid w:val="00474688"/>
    <w:rsid w:val="005253CA"/>
    <w:rsid w:val="00F91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688"/>
    <w:pPr>
      <w:spacing w:after="0" w:line="360" w:lineRule="auto"/>
      <w:ind w:firstLine="851"/>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53CA"/>
    <w:pPr>
      <w:tabs>
        <w:tab w:val="center" w:pos="4252"/>
        <w:tab w:val="right" w:pos="8504"/>
      </w:tabs>
      <w:spacing w:line="240" w:lineRule="auto"/>
    </w:pPr>
  </w:style>
  <w:style w:type="character" w:customStyle="1" w:styleId="CabealhoChar">
    <w:name w:val="Cabeçalho Char"/>
    <w:basedOn w:val="Fontepargpadro"/>
    <w:link w:val="Cabealho"/>
    <w:uiPriority w:val="99"/>
    <w:rsid w:val="005253CA"/>
    <w:rPr>
      <w:rFonts w:ascii="Times New Roman" w:hAnsi="Times New Roman" w:cs="Times New Roman"/>
      <w:sz w:val="24"/>
      <w:szCs w:val="24"/>
    </w:rPr>
  </w:style>
  <w:style w:type="paragraph" w:styleId="Rodap">
    <w:name w:val="footer"/>
    <w:basedOn w:val="Normal"/>
    <w:link w:val="RodapChar"/>
    <w:uiPriority w:val="99"/>
    <w:unhideWhenUsed/>
    <w:rsid w:val="005253CA"/>
    <w:pPr>
      <w:tabs>
        <w:tab w:val="center" w:pos="4252"/>
        <w:tab w:val="right" w:pos="8504"/>
      </w:tabs>
      <w:spacing w:line="240" w:lineRule="auto"/>
    </w:pPr>
  </w:style>
  <w:style w:type="character" w:customStyle="1" w:styleId="RodapChar">
    <w:name w:val="Rodapé Char"/>
    <w:basedOn w:val="Fontepargpadro"/>
    <w:link w:val="Rodap"/>
    <w:uiPriority w:val="99"/>
    <w:rsid w:val="005253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2168</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2016-09-30T17:18:00Z</dcterms:created>
  <dcterms:modified xsi:type="dcterms:W3CDTF">2016-09-30T17:18:00Z</dcterms:modified>
</cp:coreProperties>
</file>