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88" w:rsidRPr="00D828B7" w:rsidRDefault="00474688" w:rsidP="00474688">
      <w:pPr>
        <w:spacing w:line="240" w:lineRule="auto"/>
        <w:ind w:firstLine="0"/>
        <w:jc w:val="center"/>
        <w:rPr>
          <w:b/>
          <w:lang w:val="en-US"/>
        </w:rPr>
      </w:pPr>
      <w:r w:rsidRPr="00D828B7">
        <w:rPr>
          <w:b/>
          <w:lang w:val="en-US"/>
        </w:rPr>
        <w:t>TABLE 2</w:t>
      </w:r>
    </w:p>
    <w:p w:rsidR="00474688" w:rsidRPr="00D828B7" w:rsidRDefault="00474688" w:rsidP="00474688">
      <w:pPr>
        <w:spacing w:line="240" w:lineRule="auto"/>
        <w:ind w:firstLine="0"/>
        <w:jc w:val="center"/>
        <w:rPr>
          <w:b/>
          <w:lang w:val="en-US"/>
        </w:rPr>
      </w:pPr>
      <w:r w:rsidRPr="00D828B7">
        <w:rPr>
          <w:b/>
          <w:lang w:val="en-US"/>
        </w:rPr>
        <w:t>INCLUSION OR EXCLUSION CRITERIA</w:t>
      </w:r>
    </w:p>
    <w:tbl>
      <w:tblPr>
        <w:tblW w:w="4409" w:type="pct"/>
        <w:tblBorders>
          <w:top w:val="single" w:sz="4" w:space="0" w:color="auto"/>
          <w:bottom w:val="single" w:sz="4" w:space="0" w:color="auto"/>
        </w:tblBorders>
        <w:tblLook w:val="04A0" w:firstRow="1" w:lastRow="0" w:firstColumn="1" w:lastColumn="0" w:noHBand="0" w:noVBand="1"/>
      </w:tblPr>
      <w:tblGrid>
        <w:gridCol w:w="1786"/>
        <w:gridCol w:w="2598"/>
        <w:gridCol w:w="3115"/>
      </w:tblGrid>
      <w:tr w:rsidR="00474688" w:rsidRPr="00D828B7" w:rsidTr="00EC46FC">
        <w:trPr>
          <w:trHeight w:val="431"/>
        </w:trPr>
        <w:tc>
          <w:tcPr>
            <w:tcW w:w="1191" w:type="pct"/>
            <w:tcBorders>
              <w:top w:val="single" w:sz="4" w:space="0" w:color="auto"/>
              <w:bottom w:val="single" w:sz="4" w:space="0" w:color="auto"/>
            </w:tcBorders>
            <w:vAlign w:val="center"/>
          </w:tcPr>
          <w:p w:rsidR="00474688" w:rsidRPr="00D828B7" w:rsidRDefault="00474688" w:rsidP="00EC46FC">
            <w:pPr>
              <w:spacing w:line="240" w:lineRule="auto"/>
              <w:ind w:firstLine="0"/>
              <w:jc w:val="center"/>
              <w:rPr>
                <w:sz w:val="20"/>
                <w:szCs w:val="20"/>
                <w:lang w:val="en-US"/>
              </w:rPr>
            </w:pPr>
            <w:r w:rsidRPr="00D828B7">
              <w:rPr>
                <w:sz w:val="20"/>
                <w:szCs w:val="20"/>
                <w:lang w:val="en-US"/>
              </w:rPr>
              <w:t>Inclusion criteria</w:t>
            </w:r>
          </w:p>
        </w:tc>
        <w:tc>
          <w:tcPr>
            <w:tcW w:w="1732" w:type="pct"/>
            <w:tcBorders>
              <w:top w:val="single" w:sz="4" w:space="0" w:color="auto"/>
              <w:bottom w:val="single" w:sz="4" w:space="0" w:color="auto"/>
            </w:tcBorders>
            <w:vAlign w:val="center"/>
          </w:tcPr>
          <w:p w:rsidR="00474688" w:rsidRPr="00D828B7" w:rsidRDefault="00474688" w:rsidP="00EC46FC">
            <w:pPr>
              <w:spacing w:line="240" w:lineRule="auto"/>
              <w:ind w:firstLine="0"/>
              <w:jc w:val="center"/>
              <w:rPr>
                <w:sz w:val="20"/>
                <w:szCs w:val="20"/>
                <w:lang w:val="en-US"/>
              </w:rPr>
            </w:pPr>
            <w:r w:rsidRPr="00D828B7">
              <w:rPr>
                <w:sz w:val="20"/>
                <w:szCs w:val="20"/>
                <w:lang w:val="en-US"/>
              </w:rPr>
              <w:t>Rationales</w:t>
            </w:r>
          </w:p>
        </w:tc>
        <w:tc>
          <w:tcPr>
            <w:tcW w:w="2077" w:type="pct"/>
            <w:tcBorders>
              <w:top w:val="single" w:sz="4" w:space="0" w:color="auto"/>
              <w:bottom w:val="single" w:sz="4" w:space="0" w:color="auto"/>
            </w:tcBorders>
            <w:vAlign w:val="center"/>
          </w:tcPr>
          <w:p w:rsidR="00474688" w:rsidRPr="00D828B7" w:rsidRDefault="00474688" w:rsidP="00EC46FC">
            <w:pPr>
              <w:spacing w:line="240" w:lineRule="auto"/>
              <w:ind w:firstLine="0"/>
              <w:jc w:val="center"/>
              <w:rPr>
                <w:sz w:val="20"/>
                <w:szCs w:val="20"/>
                <w:lang w:val="en-US"/>
              </w:rPr>
            </w:pPr>
            <w:r w:rsidRPr="00D828B7">
              <w:rPr>
                <w:sz w:val="20"/>
                <w:szCs w:val="20"/>
                <w:lang w:val="en-US"/>
              </w:rPr>
              <w:t>Articles excluded from analysis</w:t>
            </w:r>
          </w:p>
        </w:tc>
      </w:tr>
      <w:tr w:rsidR="00474688" w:rsidRPr="000B5005" w:rsidTr="00EC46FC">
        <w:trPr>
          <w:trHeight w:val="2063"/>
        </w:trPr>
        <w:tc>
          <w:tcPr>
            <w:tcW w:w="1191" w:type="pct"/>
            <w:tcBorders>
              <w:top w:val="single" w:sz="4" w:space="0" w:color="auto"/>
              <w:bottom w:val="single" w:sz="4" w:space="0" w:color="auto"/>
            </w:tcBorders>
            <w:vAlign w:val="center"/>
          </w:tcPr>
          <w:p w:rsidR="00474688" w:rsidRPr="00D828B7" w:rsidRDefault="00474688" w:rsidP="00EC46FC">
            <w:pPr>
              <w:spacing w:line="240" w:lineRule="auto"/>
              <w:ind w:firstLine="0"/>
              <w:jc w:val="left"/>
              <w:rPr>
                <w:sz w:val="20"/>
                <w:szCs w:val="20"/>
                <w:lang w:val="en-US"/>
              </w:rPr>
            </w:pPr>
            <w:r w:rsidRPr="00D828B7">
              <w:rPr>
                <w:sz w:val="20"/>
                <w:szCs w:val="20"/>
                <w:lang w:val="en-US"/>
              </w:rPr>
              <w:t>Qualitative case studies</w:t>
            </w:r>
          </w:p>
        </w:tc>
        <w:tc>
          <w:tcPr>
            <w:tcW w:w="1732" w:type="pct"/>
            <w:tcBorders>
              <w:top w:val="single" w:sz="4" w:space="0" w:color="auto"/>
              <w:bottom w:val="single" w:sz="4" w:space="0" w:color="auto"/>
            </w:tcBorders>
            <w:vAlign w:val="center"/>
          </w:tcPr>
          <w:p w:rsidR="00474688" w:rsidRPr="00D828B7" w:rsidRDefault="00474688" w:rsidP="00EC46FC">
            <w:pPr>
              <w:spacing w:line="240" w:lineRule="auto"/>
              <w:ind w:firstLine="0"/>
              <w:jc w:val="left"/>
              <w:rPr>
                <w:sz w:val="20"/>
                <w:szCs w:val="20"/>
                <w:lang w:val="en-US"/>
              </w:rPr>
            </w:pPr>
            <w:r w:rsidRPr="00D828B7">
              <w:rPr>
                <w:sz w:val="20"/>
                <w:szCs w:val="20"/>
                <w:lang w:val="en-US"/>
              </w:rPr>
              <w:t>This criterion was used in order to include only publications which demonstrate that using the case study method detailed description of the use of the method. The illustrative case studies with the aim of demonstrating the practical application of the concept were excluded from analysis.</w:t>
            </w:r>
          </w:p>
        </w:tc>
        <w:tc>
          <w:tcPr>
            <w:tcW w:w="2077" w:type="pct"/>
            <w:tcBorders>
              <w:top w:val="single" w:sz="4" w:space="0" w:color="auto"/>
              <w:bottom w:val="single" w:sz="4" w:space="0" w:color="auto"/>
            </w:tcBorders>
            <w:vAlign w:val="center"/>
          </w:tcPr>
          <w:p w:rsidR="00474688" w:rsidRPr="00D828B7" w:rsidRDefault="00474688" w:rsidP="00EC46FC">
            <w:pPr>
              <w:spacing w:line="240" w:lineRule="auto"/>
              <w:ind w:firstLine="0"/>
              <w:jc w:val="left"/>
              <w:rPr>
                <w:sz w:val="20"/>
                <w:szCs w:val="20"/>
                <w:lang w:val="en-US"/>
              </w:rPr>
            </w:pPr>
            <w:r w:rsidRPr="00D828B7">
              <w:rPr>
                <w:sz w:val="20"/>
                <w:szCs w:val="20"/>
                <w:lang w:val="en-US"/>
              </w:rPr>
              <w:t>Illustrative case examples (Simms, 2006; Raufflet, 2009; Herrera, 2015).</w:t>
            </w:r>
          </w:p>
        </w:tc>
      </w:tr>
      <w:tr w:rsidR="00474688" w:rsidRPr="000B5005" w:rsidTr="00EC46FC">
        <w:trPr>
          <w:trHeight w:val="2024"/>
        </w:trPr>
        <w:tc>
          <w:tcPr>
            <w:tcW w:w="1191" w:type="pct"/>
            <w:tcBorders>
              <w:top w:val="single" w:sz="4" w:space="0" w:color="auto"/>
              <w:bottom w:val="single" w:sz="4" w:space="0" w:color="auto"/>
            </w:tcBorders>
            <w:vAlign w:val="center"/>
          </w:tcPr>
          <w:p w:rsidR="00474688" w:rsidRPr="00D828B7" w:rsidRDefault="00474688" w:rsidP="00EC46FC">
            <w:pPr>
              <w:spacing w:line="240" w:lineRule="auto"/>
              <w:ind w:firstLine="0"/>
              <w:jc w:val="left"/>
              <w:rPr>
                <w:sz w:val="20"/>
                <w:szCs w:val="20"/>
                <w:lang w:val="en-US"/>
              </w:rPr>
            </w:pPr>
            <w:r w:rsidRPr="00D828B7">
              <w:rPr>
                <w:sz w:val="20"/>
                <w:szCs w:val="20"/>
                <w:lang w:val="en-US"/>
              </w:rPr>
              <w:t>SI concept related to Mulgan view (2006, p. 146) that considers SI as “innovative activities. and services that are motivated by the goal of meeting a social need”</w:t>
            </w:r>
          </w:p>
        </w:tc>
        <w:tc>
          <w:tcPr>
            <w:tcW w:w="1732" w:type="pct"/>
            <w:tcBorders>
              <w:top w:val="single" w:sz="4" w:space="0" w:color="auto"/>
              <w:bottom w:val="single" w:sz="4" w:space="0" w:color="auto"/>
            </w:tcBorders>
            <w:vAlign w:val="center"/>
          </w:tcPr>
          <w:p w:rsidR="00474688" w:rsidRPr="00D828B7" w:rsidRDefault="00474688" w:rsidP="00EC46FC">
            <w:pPr>
              <w:spacing w:line="240" w:lineRule="auto"/>
              <w:ind w:firstLine="0"/>
              <w:jc w:val="left"/>
              <w:rPr>
                <w:sz w:val="20"/>
                <w:szCs w:val="20"/>
                <w:lang w:val="en-US"/>
              </w:rPr>
            </w:pPr>
            <w:r w:rsidRPr="00D828B7">
              <w:rPr>
                <w:sz w:val="20"/>
                <w:szCs w:val="20"/>
                <w:lang w:val="en-US"/>
              </w:rPr>
              <w:t>This criterion was used in order to include only publications that were directly related to the concept of SI from Mulgan (2006).</w:t>
            </w:r>
          </w:p>
        </w:tc>
        <w:tc>
          <w:tcPr>
            <w:tcW w:w="2077" w:type="pct"/>
            <w:tcBorders>
              <w:top w:val="single" w:sz="4" w:space="0" w:color="auto"/>
              <w:bottom w:val="single" w:sz="4" w:space="0" w:color="auto"/>
            </w:tcBorders>
            <w:vAlign w:val="center"/>
          </w:tcPr>
          <w:p w:rsidR="00474688" w:rsidRPr="00D828B7" w:rsidRDefault="00474688" w:rsidP="00EC46FC">
            <w:pPr>
              <w:spacing w:line="240" w:lineRule="auto"/>
              <w:ind w:firstLine="0"/>
              <w:jc w:val="left"/>
              <w:rPr>
                <w:sz w:val="20"/>
                <w:szCs w:val="20"/>
                <w:lang w:val="en-US"/>
              </w:rPr>
            </w:pPr>
            <w:r w:rsidRPr="00D828B7">
              <w:rPr>
                <w:sz w:val="20"/>
                <w:szCs w:val="20"/>
                <w:lang w:val="en-US"/>
              </w:rPr>
              <w:t>Innovation in general scope with small references to SI (Mcloughlin &amp; Preece, 2010; Kinder, 2010; Witkamp, Raven &amp; Rayakkers, 2011; Fink, Lang &amp; Harms, 2013; Bas &amp; Guillo, 2015)</w:t>
            </w:r>
          </w:p>
          <w:p w:rsidR="00474688" w:rsidRPr="00D828B7" w:rsidRDefault="00474688" w:rsidP="00EC46FC">
            <w:pPr>
              <w:spacing w:line="240" w:lineRule="auto"/>
              <w:ind w:firstLine="0"/>
              <w:jc w:val="left"/>
              <w:rPr>
                <w:sz w:val="20"/>
                <w:szCs w:val="20"/>
                <w:lang w:val="en-US"/>
              </w:rPr>
            </w:pPr>
          </w:p>
          <w:p w:rsidR="00474688" w:rsidRPr="00D828B7" w:rsidRDefault="00474688" w:rsidP="00EC46FC">
            <w:pPr>
              <w:spacing w:line="240" w:lineRule="auto"/>
              <w:ind w:firstLine="0"/>
              <w:jc w:val="left"/>
              <w:rPr>
                <w:sz w:val="20"/>
                <w:szCs w:val="20"/>
                <w:lang w:val="en-US"/>
              </w:rPr>
            </w:pPr>
          </w:p>
          <w:p w:rsidR="00474688" w:rsidRPr="00D828B7" w:rsidRDefault="00474688" w:rsidP="00EC46FC">
            <w:pPr>
              <w:spacing w:line="240" w:lineRule="auto"/>
              <w:ind w:firstLine="0"/>
              <w:jc w:val="left"/>
              <w:rPr>
                <w:sz w:val="20"/>
                <w:szCs w:val="20"/>
                <w:lang w:val="en-US"/>
              </w:rPr>
            </w:pPr>
          </w:p>
        </w:tc>
      </w:tr>
      <w:tr w:rsidR="00474688" w:rsidRPr="000B5005" w:rsidTr="00EC46FC">
        <w:tc>
          <w:tcPr>
            <w:tcW w:w="1191" w:type="pct"/>
            <w:tcBorders>
              <w:top w:val="single" w:sz="4" w:space="0" w:color="auto"/>
              <w:bottom w:val="single" w:sz="4" w:space="0" w:color="auto"/>
            </w:tcBorders>
            <w:vAlign w:val="center"/>
          </w:tcPr>
          <w:p w:rsidR="00474688" w:rsidRPr="00D828B7" w:rsidRDefault="00474688" w:rsidP="00EC46FC">
            <w:pPr>
              <w:spacing w:line="240" w:lineRule="auto"/>
              <w:ind w:firstLine="0"/>
              <w:jc w:val="left"/>
              <w:rPr>
                <w:sz w:val="20"/>
                <w:szCs w:val="20"/>
                <w:lang w:val="en-US"/>
              </w:rPr>
            </w:pPr>
            <w:r w:rsidRPr="00D828B7">
              <w:rPr>
                <w:sz w:val="20"/>
                <w:szCs w:val="20"/>
                <w:lang w:val="en-US"/>
              </w:rPr>
              <w:t>Focus in growth stage, expansion or scaling up a SI</w:t>
            </w:r>
          </w:p>
        </w:tc>
        <w:tc>
          <w:tcPr>
            <w:tcW w:w="1732" w:type="pct"/>
            <w:tcBorders>
              <w:top w:val="single" w:sz="4" w:space="0" w:color="auto"/>
              <w:bottom w:val="single" w:sz="4" w:space="0" w:color="auto"/>
            </w:tcBorders>
            <w:vAlign w:val="center"/>
          </w:tcPr>
          <w:p w:rsidR="00474688" w:rsidRPr="00D828B7" w:rsidRDefault="00474688" w:rsidP="00EC46FC">
            <w:pPr>
              <w:spacing w:line="240" w:lineRule="auto"/>
              <w:ind w:firstLine="0"/>
              <w:jc w:val="left"/>
              <w:rPr>
                <w:sz w:val="20"/>
                <w:szCs w:val="20"/>
                <w:lang w:val="en-US"/>
              </w:rPr>
            </w:pPr>
            <w:r w:rsidRPr="00D828B7">
              <w:rPr>
                <w:sz w:val="20"/>
                <w:szCs w:val="20"/>
                <w:lang w:val="en-US"/>
              </w:rPr>
              <w:t>This criterion was used in order to gather only the publications that addressed, even if indirectly, scalability process or extension of a SI. Although these articles treat the SI as Mulgan's (2006) concept, scalability phase has not been addressed in studies.</w:t>
            </w:r>
          </w:p>
        </w:tc>
        <w:tc>
          <w:tcPr>
            <w:tcW w:w="2077" w:type="pct"/>
            <w:tcBorders>
              <w:top w:val="single" w:sz="4" w:space="0" w:color="auto"/>
              <w:bottom w:val="single" w:sz="4" w:space="0" w:color="auto"/>
            </w:tcBorders>
            <w:vAlign w:val="center"/>
          </w:tcPr>
          <w:p w:rsidR="00474688" w:rsidRPr="00D828B7" w:rsidRDefault="00474688" w:rsidP="00EC46FC">
            <w:pPr>
              <w:spacing w:line="240" w:lineRule="auto"/>
              <w:ind w:firstLine="0"/>
              <w:jc w:val="left"/>
              <w:rPr>
                <w:sz w:val="20"/>
                <w:szCs w:val="20"/>
                <w:lang w:val="en-US"/>
              </w:rPr>
            </w:pPr>
            <w:r w:rsidRPr="00D828B7">
              <w:rPr>
                <w:sz w:val="20"/>
                <w:szCs w:val="20"/>
                <w:lang w:val="en-US"/>
              </w:rPr>
              <w:t>Social economy (Klein, Tremblay &amp; Bussieres, 2010).</w:t>
            </w:r>
          </w:p>
          <w:p w:rsidR="00474688" w:rsidRPr="00D828B7" w:rsidRDefault="00474688" w:rsidP="00EC46FC">
            <w:pPr>
              <w:spacing w:line="240" w:lineRule="auto"/>
              <w:ind w:firstLine="0"/>
              <w:jc w:val="left"/>
              <w:rPr>
                <w:sz w:val="20"/>
                <w:szCs w:val="20"/>
                <w:lang w:val="en-US"/>
              </w:rPr>
            </w:pPr>
          </w:p>
          <w:p w:rsidR="00474688" w:rsidRPr="00D828B7" w:rsidRDefault="00474688" w:rsidP="00EC46FC">
            <w:pPr>
              <w:spacing w:line="240" w:lineRule="auto"/>
              <w:ind w:firstLine="0"/>
              <w:jc w:val="left"/>
              <w:rPr>
                <w:sz w:val="20"/>
                <w:szCs w:val="20"/>
                <w:lang w:val="en-US"/>
              </w:rPr>
            </w:pPr>
            <w:r w:rsidRPr="00D828B7">
              <w:rPr>
                <w:sz w:val="20"/>
                <w:szCs w:val="20"/>
                <w:lang w:val="en-US"/>
              </w:rPr>
              <w:t>Focus on identifying SI opportunities and planning of social enterprises (Lettice&amp; Parekh, 2010)</w:t>
            </w:r>
          </w:p>
          <w:p w:rsidR="00474688" w:rsidRPr="00D828B7" w:rsidRDefault="00474688" w:rsidP="00EC46FC">
            <w:pPr>
              <w:spacing w:line="240" w:lineRule="auto"/>
              <w:ind w:firstLine="0"/>
              <w:jc w:val="left"/>
              <w:rPr>
                <w:sz w:val="20"/>
                <w:szCs w:val="20"/>
                <w:lang w:val="en-US"/>
              </w:rPr>
            </w:pPr>
          </w:p>
          <w:p w:rsidR="00474688" w:rsidRPr="00D828B7" w:rsidRDefault="00474688" w:rsidP="00EC46FC">
            <w:pPr>
              <w:spacing w:line="240" w:lineRule="auto"/>
              <w:ind w:firstLine="0"/>
              <w:jc w:val="left"/>
              <w:rPr>
                <w:sz w:val="20"/>
                <w:szCs w:val="20"/>
                <w:lang w:val="en-US"/>
              </w:rPr>
            </w:pPr>
            <w:r w:rsidRPr="00D828B7">
              <w:rPr>
                <w:sz w:val="20"/>
                <w:szCs w:val="20"/>
                <w:lang w:val="en-US"/>
              </w:rPr>
              <w:t>Importance of corporate philanthropy for the initial phase of the SI (Mclean, Harvey &amp; Gordon, 2013)</w:t>
            </w:r>
          </w:p>
          <w:p w:rsidR="00474688" w:rsidRPr="00D828B7" w:rsidRDefault="00474688" w:rsidP="00EC46FC">
            <w:pPr>
              <w:spacing w:line="240" w:lineRule="auto"/>
              <w:ind w:firstLine="0"/>
              <w:jc w:val="left"/>
              <w:rPr>
                <w:sz w:val="20"/>
                <w:szCs w:val="20"/>
                <w:lang w:val="en-US"/>
              </w:rPr>
            </w:pPr>
          </w:p>
          <w:p w:rsidR="00474688" w:rsidRPr="00D828B7" w:rsidRDefault="00474688" w:rsidP="00EC46FC">
            <w:pPr>
              <w:spacing w:line="240" w:lineRule="auto"/>
              <w:ind w:firstLine="0"/>
              <w:jc w:val="left"/>
              <w:rPr>
                <w:sz w:val="20"/>
                <w:szCs w:val="20"/>
                <w:lang w:val="en-US"/>
              </w:rPr>
            </w:pPr>
            <w:r w:rsidRPr="00D828B7">
              <w:rPr>
                <w:sz w:val="20"/>
                <w:szCs w:val="20"/>
                <w:lang w:val="en-US"/>
              </w:rPr>
              <w:t>Focus on stage identification of an opportunity to SI and the construction of a social enterprise. It does not address the development phases or scalability of a SI (Marcy, 2015).</w:t>
            </w:r>
          </w:p>
          <w:p w:rsidR="00474688" w:rsidRPr="00D828B7" w:rsidRDefault="00474688" w:rsidP="00EC46FC">
            <w:pPr>
              <w:spacing w:line="240" w:lineRule="auto"/>
              <w:ind w:firstLine="0"/>
              <w:jc w:val="left"/>
              <w:rPr>
                <w:sz w:val="20"/>
                <w:szCs w:val="20"/>
                <w:lang w:val="en-US"/>
              </w:rPr>
            </w:pPr>
          </w:p>
          <w:p w:rsidR="00474688" w:rsidRPr="00D828B7" w:rsidRDefault="00474688" w:rsidP="00EC46FC">
            <w:pPr>
              <w:spacing w:line="240" w:lineRule="auto"/>
              <w:ind w:firstLine="0"/>
              <w:jc w:val="left"/>
              <w:rPr>
                <w:sz w:val="20"/>
                <w:szCs w:val="20"/>
                <w:lang w:val="en-US"/>
              </w:rPr>
            </w:pPr>
            <w:r w:rsidRPr="00D828B7">
              <w:rPr>
                <w:sz w:val="20"/>
                <w:szCs w:val="20"/>
                <w:lang w:val="en-US"/>
              </w:rPr>
              <w:t>Conflict between organizational objectives focused on profitability and the generation of social value (Le Ber &amp; Branzei, 2010b)</w:t>
            </w:r>
          </w:p>
          <w:p w:rsidR="00474688" w:rsidRPr="00D828B7" w:rsidRDefault="00474688" w:rsidP="00EC46FC">
            <w:pPr>
              <w:spacing w:line="240" w:lineRule="auto"/>
              <w:ind w:firstLine="0"/>
              <w:jc w:val="left"/>
              <w:rPr>
                <w:sz w:val="20"/>
                <w:szCs w:val="20"/>
                <w:lang w:val="en-US"/>
              </w:rPr>
            </w:pPr>
          </w:p>
          <w:p w:rsidR="00474688" w:rsidRPr="00D828B7" w:rsidRDefault="00474688" w:rsidP="00EC46FC">
            <w:pPr>
              <w:spacing w:line="240" w:lineRule="auto"/>
              <w:ind w:firstLine="0"/>
              <w:jc w:val="left"/>
              <w:rPr>
                <w:sz w:val="20"/>
                <w:szCs w:val="20"/>
                <w:lang w:val="en-US"/>
              </w:rPr>
            </w:pPr>
            <w:r w:rsidRPr="00D828B7">
              <w:rPr>
                <w:sz w:val="20"/>
                <w:szCs w:val="20"/>
                <w:lang w:val="en-US"/>
              </w:rPr>
              <w:t>Pure description of the case “Fundacion Paraguaya” (Maak &amp; Stoetter, 2012)</w:t>
            </w:r>
          </w:p>
          <w:p w:rsidR="00474688" w:rsidRPr="00D828B7" w:rsidRDefault="00474688" w:rsidP="00EC46FC">
            <w:pPr>
              <w:spacing w:line="240" w:lineRule="auto"/>
              <w:ind w:firstLine="0"/>
              <w:jc w:val="left"/>
              <w:rPr>
                <w:sz w:val="20"/>
                <w:szCs w:val="20"/>
                <w:lang w:val="en-US"/>
              </w:rPr>
            </w:pPr>
          </w:p>
          <w:p w:rsidR="00474688" w:rsidRPr="00D828B7" w:rsidRDefault="00474688" w:rsidP="00EC46FC">
            <w:pPr>
              <w:spacing w:line="240" w:lineRule="auto"/>
              <w:ind w:firstLine="0"/>
              <w:jc w:val="left"/>
              <w:rPr>
                <w:sz w:val="20"/>
                <w:szCs w:val="20"/>
                <w:lang w:val="en-US"/>
              </w:rPr>
            </w:pPr>
            <w:r w:rsidRPr="00D828B7">
              <w:rPr>
                <w:sz w:val="20"/>
                <w:szCs w:val="20"/>
                <w:lang w:val="en-US"/>
              </w:rPr>
              <w:t>Knowledge management in SI (Clalmers &amp; Balan-Vnuk, 2013)</w:t>
            </w:r>
          </w:p>
          <w:p w:rsidR="00474688" w:rsidRPr="00D828B7" w:rsidRDefault="00474688" w:rsidP="00EC46FC">
            <w:pPr>
              <w:spacing w:line="240" w:lineRule="auto"/>
              <w:ind w:firstLine="0"/>
              <w:jc w:val="left"/>
              <w:rPr>
                <w:sz w:val="20"/>
                <w:szCs w:val="20"/>
                <w:lang w:val="en-US"/>
              </w:rPr>
            </w:pPr>
          </w:p>
          <w:p w:rsidR="00474688" w:rsidRPr="00D828B7" w:rsidRDefault="00474688" w:rsidP="00EC46FC">
            <w:pPr>
              <w:spacing w:line="240" w:lineRule="auto"/>
              <w:ind w:firstLine="0"/>
              <w:jc w:val="left"/>
              <w:rPr>
                <w:sz w:val="20"/>
                <w:szCs w:val="20"/>
                <w:lang w:val="en-US"/>
              </w:rPr>
            </w:pPr>
            <w:r w:rsidRPr="00D828B7">
              <w:rPr>
                <w:sz w:val="20"/>
                <w:szCs w:val="20"/>
                <w:lang w:val="en-US"/>
              </w:rPr>
              <w:t>Outsourcing of IT services as a way to SI (Sandeep &amp; Ravishankar, 2015);</w:t>
            </w:r>
          </w:p>
          <w:p w:rsidR="00474688" w:rsidRPr="00D828B7" w:rsidRDefault="00474688" w:rsidP="00EC46FC">
            <w:pPr>
              <w:spacing w:line="240" w:lineRule="auto"/>
              <w:ind w:firstLine="0"/>
              <w:jc w:val="left"/>
              <w:rPr>
                <w:sz w:val="20"/>
                <w:szCs w:val="20"/>
                <w:lang w:val="en-US"/>
              </w:rPr>
            </w:pPr>
          </w:p>
          <w:p w:rsidR="00474688" w:rsidRPr="00D828B7" w:rsidRDefault="00474688" w:rsidP="00EC46FC">
            <w:pPr>
              <w:spacing w:line="240" w:lineRule="auto"/>
              <w:ind w:firstLine="0"/>
              <w:jc w:val="left"/>
              <w:rPr>
                <w:sz w:val="20"/>
                <w:szCs w:val="20"/>
                <w:lang w:val="en-US"/>
              </w:rPr>
            </w:pPr>
            <w:r w:rsidRPr="00D828B7">
              <w:rPr>
                <w:sz w:val="20"/>
                <w:szCs w:val="20"/>
                <w:lang w:val="en-US"/>
              </w:rPr>
              <w:lastRenderedPageBreak/>
              <w:t>Focus on exploration of new areas of business (Igarashi &amp; Okada, 2015).</w:t>
            </w:r>
          </w:p>
          <w:p w:rsidR="00474688" w:rsidRPr="00D828B7" w:rsidRDefault="00474688" w:rsidP="00EC46FC">
            <w:pPr>
              <w:spacing w:line="240" w:lineRule="auto"/>
              <w:ind w:firstLine="0"/>
              <w:jc w:val="left"/>
              <w:rPr>
                <w:sz w:val="20"/>
                <w:szCs w:val="20"/>
                <w:lang w:val="en-US"/>
              </w:rPr>
            </w:pPr>
          </w:p>
          <w:p w:rsidR="00474688" w:rsidRPr="00D828B7" w:rsidRDefault="00474688" w:rsidP="00EC46FC">
            <w:pPr>
              <w:spacing w:line="240" w:lineRule="auto"/>
              <w:ind w:firstLine="0"/>
              <w:jc w:val="left"/>
              <w:rPr>
                <w:sz w:val="20"/>
                <w:szCs w:val="20"/>
                <w:lang w:val="en-US"/>
              </w:rPr>
            </w:pPr>
            <w:r w:rsidRPr="00D828B7">
              <w:rPr>
                <w:sz w:val="20"/>
                <w:szCs w:val="20"/>
                <w:lang w:val="en-US"/>
              </w:rPr>
              <w:t>Events for dissemination of SI (Citroni, 2015).</w:t>
            </w:r>
          </w:p>
        </w:tc>
      </w:tr>
      <w:tr w:rsidR="00474688" w:rsidRPr="000B5005" w:rsidTr="00EC46FC">
        <w:tc>
          <w:tcPr>
            <w:tcW w:w="1191" w:type="pct"/>
            <w:tcBorders>
              <w:top w:val="single" w:sz="4" w:space="0" w:color="auto"/>
              <w:bottom w:val="single" w:sz="4" w:space="0" w:color="auto"/>
            </w:tcBorders>
            <w:vAlign w:val="center"/>
          </w:tcPr>
          <w:p w:rsidR="00474688" w:rsidRPr="00D828B7" w:rsidRDefault="00474688" w:rsidP="00EC46FC">
            <w:pPr>
              <w:spacing w:line="240" w:lineRule="auto"/>
              <w:ind w:firstLine="0"/>
              <w:jc w:val="left"/>
              <w:rPr>
                <w:sz w:val="20"/>
                <w:szCs w:val="20"/>
                <w:lang w:val="en-US"/>
              </w:rPr>
            </w:pPr>
            <w:r w:rsidRPr="00D828B7">
              <w:rPr>
                <w:sz w:val="20"/>
                <w:szCs w:val="20"/>
                <w:lang w:val="en-US"/>
              </w:rPr>
              <w:lastRenderedPageBreak/>
              <w:t>Check Quality</w:t>
            </w:r>
          </w:p>
        </w:tc>
        <w:tc>
          <w:tcPr>
            <w:tcW w:w="1732" w:type="pct"/>
            <w:tcBorders>
              <w:top w:val="single" w:sz="4" w:space="0" w:color="auto"/>
              <w:bottom w:val="single" w:sz="4" w:space="0" w:color="auto"/>
            </w:tcBorders>
            <w:vAlign w:val="center"/>
          </w:tcPr>
          <w:p w:rsidR="00474688" w:rsidRPr="00D828B7" w:rsidRDefault="00474688" w:rsidP="00EC46FC">
            <w:pPr>
              <w:spacing w:line="240" w:lineRule="auto"/>
              <w:ind w:firstLine="0"/>
              <w:jc w:val="left"/>
              <w:rPr>
                <w:sz w:val="20"/>
                <w:szCs w:val="20"/>
                <w:lang w:val="en-US"/>
              </w:rPr>
            </w:pPr>
            <w:r w:rsidRPr="00D828B7">
              <w:rPr>
                <w:sz w:val="20"/>
                <w:szCs w:val="20"/>
                <w:lang w:val="en-US"/>
              </w:rPr>
              <w:t>Was sought to evaluate the articles for their complete description of the case, clear connection between theory and empirical evidence, multiple data sources, among other criteria related to the quality of the case studies according Eisenhardt (1989) and Yin (2009).</w:t>
            </w:r>
          </w:p>
        </w:tc>
        <w:tc>
          <w:tcPr>
            <w:tcW w:w="2077" w:type="pct"/>
            <w:tcBorders>
              <w:top w:val="single" w:sz="4" w:space="0" w:color="auto"/>
              <w:bottom w:val="single" w:sz="4" w:space="0" w:color="auto"/>
            </w:tcBorders>
            <w:vAlign w:val="center"/>
          </w:tcPr>
          <w:p w:rsidR="00474688" w:rsidRPr="00D828B7" w:rsidRDefault="00474688" w:rsidP="00EC46FC">
            <w:pPr>
              <w:spacing w:line="240" w:lineRule="auto"/>
              <w:ind w:firstLine="0"/>
              <w:jc w:val="left"/>
              <w:rPr>
                <w:sz w:val="20"/>
                <w:szCs w:val="20"/>
                <w:lang w:val="en-US"/>
              </w:rPr>
            </w:pPr>
            <w:r w:rsidRPr="00D828B7">
              <w:rPr>
                <w:sz w:val="20"/>
                <w:szCs w:val="20"/>
                <w:lang w:val="en-US"/>
              </w:rPr>
              <w:t>No further studies were excluded due to quality assessment.</w:t>
            </w:r>
          </w:p>
        </w:tc>
      </w:tr>
    </w:tbl>
    <w:p w:rsidR="00474688" w:rsidRPr="00D828B7" w:rsidRDefault="00474688" w:rsidP="00474688">
      <w:pPr>
        <w:ind w:firstLine="0"/>
        <w:jc w:val="center"/>
        <w:rPr>
          <w:sz w:val="20"/>
          <w:szCs w:val="20"/>
          <w:lang w:val="en-US"/>
        </w:rPr>
      </w:pPr>
      <w:r w:rsidRPr="00D828B7">
        <w:rPr>
          <w:sz w:val="20"/>
          <w:szCs w:val="20"/>
          <w:lang w:val="en-US"/>
        </w:rPr>
        <w:t xml:space="preserve">Source: </w:t>
      </w:r>
      <w:r>
        <w:rPr>
          <w:sz w:val="20"/>
          <w:szCs w:val="20"/>
          <w:lang w:val="en-US"/>
        </w:rPr>
        <w:t>Elaborated</w:t>
      </w:r>
      <w:r w:rsidRPr="00D828B7">
        <w:rPr>
          <w:sz w:val="20"/>
          <w:szCs w:val="20"/>
          <w:lang w:val="en-US"/>
        </w:rPr>
        <w:t xml:space="preserve"> by the authors from Hoon (2013)</w:t>
      </w:r>
    </w:p>
    <w:p w:rsidR="00F91552" w:rsidRPr="00474688" w:rsidRDefault="00F91552">
      <w:pPr>
        <w:rPr>
          <w:lang w:val="en-US"/>
        </w:rPr>
      </w:pPr>
      <w:bookmarkStart w:id="0" w:name="_GoBack"/>
      <w:bookmarkEnd w:id="0"/>
    </w:p>
    <w:sectPr w:rsidR="00F91552" w:rsidRPr="00474688">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CA" w:rsidRDefault="005253CA" w:rsidP="005253CA">
      <w:pPr>
        <w:spacing w:line="240" w:lineRule="auto"/>
      </w:pPr>
      <w:r>
        <w:separator/>
      </w:r>
    </w:p>
  </w:endnote>
  <w:endnote w:type="continuationSeparator" w:id="0">
    <w:p w:rsidR="005253CA" w:rsidRDefault="005253CA" w:rsidP="00525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CA" w:rsidRDefault="005253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CA" w:rsidRDefault="005253C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CA" w:rsidRDefault="005253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CA" w:rsidRDefault="005253CA" w:rsidP="005253CA">
      <w:pPr>
        <w:spacing w:line="240" w:lineRule="auto"/>
      </w:pPr>
      <w:r>
        <w:separator/>
      </w:r>
    </w:p>
  </w:footnote>
  <w:footnote w:type="continuationSeparator" w:id="0">
    <w:p w:rsidR="005253CA" w:rsidRDefault="005253CA" w:rsidP="005253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CA" w:rsidRDefault="005253C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CA" w:rsidRDefault="005253C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3CA" w:rsidRDefault="005253C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88"/>
    <w:rsid w:val="00474688"/>
    <w:rsid w:val="005253CA"/>
    <w:rsid w:val="00F915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688"/>
    <w:pPr>
      <w:spacing w:after="0" w:line="360" w:lineRule="auto"/>
      <w:ind w:firstLine="851"/>
      <w:jc w:val="both"/>
    </w:pPr>
    <w:rPr>
      <w:rFonts w:ascii="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53CA"/>
    <w:pPr>
      <w:tabs>
        <w:tab w:val="center" w:pos="4252"/>
        <w:tab w:val="right" w:pos="8504"/>
      </w:tabs>
      <w:spacing w:line="240" w:lineRule="auto"/>
    </w:pPr>
  </w:style>
  <w:style w:type="character" w:customStyle="1" w:styleId="CabealhoChar">
    <w:name w:val="Cabeçalho Char"/>
    <w:basedOn w:val="Fontepargpadro"/>
    <w:link w:val="Cabealho"/>
    <w:uiPriority w:val="99"/>
    <w:rsid w:val="005253CA"/>
    <w:rPr>
      <w:rFonts w:ascii="Times New Roman" w:hAnsi="Times New Roman" w:cs="Times New Roman"/>
      <w:sz w:val="24"/>
      <w:szCs w:val="24"/>
    </w:rPr>
  </w:style>
  <w:style w:type="paragraph" w:styleId="Rodap">
    <w:name w:val="footer"/>
    <w:basedOn w:val="Normal"/>
    <w:link w:val="RodapChar"/>
    <w:uiPriority w:val="99"/>
    <w:unhideWhenUsed/>
    <w:rsid w:val="005253CA"/>
    <w:pPr>
      <w:tabs>
        <w:tab w:val="center" w:pos="4252"/>
        <w:tab w:val="right" w:pos="8504"/>
      </w:tabs>
      <w:spacing w:line="240" w:lineRule="auto"/>
    </w:pPr>
  </w:style>
  <w:style w:type="character" w:customStyle="1" w:styleId="RodapChar">
    <w:name w:val="Rodapé Char"/>
    <w:basedOn w:val="Fontepargpadro"/>
    <w:link w:val="Rodap"/>
    <w:uiPriority w:val="99"/>
    <w:rsid w:val="005253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2168</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2016-09-30T17:18:00Z</dcterms:created>
  <dcterms:modified xsi:type="dcterms:W3CDTF">2016-09-30T17:18:00Z</dcterms:modified>
</cp:coreProperties>
</file>