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38" w:rsidRPr="00270F0F" w:rsidRDefault="007C7D38" w:rsidP="007C7D38">
      <w:pPr>
        <w:spacing w:before="60" w:after="120"/>
        <w:jc w:val="center"/>
        <w:rPr>
          <w:szCs w:val="20"/>
          <w:lang w:val="en-GB"/>
        </w:rPr>
      </w:pPr>
      <w:r w:rsidRPr="00270F0F">
        <w:rPr>
          <w:b/>
          <w:szCs w:val="20"/>
          <w:lang w:val="en-GB"/>
        </w:rPr>
        <w:t>Table 1</w:t>
      </w:r>
      <w:r w:rsidRPr="00270F0F">
        <w:rPr>
          <w:szCs w:val="20"/>
          <w:lang w:val="en-GB"/>
        </w:rPr>
        <w:t>: Entrepreneurial Potential Characteristics for each Attribute</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67"/>
        <w:gridCol w:w="6729"/>
      </w:tblGrid>
      <w:tr w:rsidR="007C7D38" w:rsidRPr="00270F0F" w:rsidTr="004903DE">
        <w:tc>
          <w:tcPr>
            <w:tcW w:w="1701" w:type="dxa"/>
            <w:tcBorders>
              <w:top w:val="single" w:sz="4" w:space="0" w:color="auto"/>
              <w:left w:val="nil"/>
              <w:bottom w:val="single" w:sz="4" w:space="0" w:color="auto"/>
              <w:right w:val="single" w:sz="4" w:space="0" w:color="auto"/>
            </w:tcBorders>
            <w:hideMark/>
          </w:tcPr>
          <w:p w:rsidR="007C7D38" w:rsidRPr="00270F0F" w:rsidRDefault="007C7D38" w:rsidP="004903DE">
            <w:pPr>
              <w:jc w:val="center"/>
              <w:rPr>
                <w:b/>
                <w:sz w:val="20"/>
                <w:szCs w:val="20"/>
                <w:lang w:val="en-GB"/>
              </w:rPr>
            </w:pPr>
            <w:r w:rsidRPr="00270F0F">
              <w:rPr>
                <w:b/>
                <w:sz w:val="20"/>
                <w:szCs w:val="20"/>
                <w:lang w:val="en-GB"/>
              </w:rPr>
              <w:t>Attribute</w:t>
            </w:r>
          </w:p>
        </w:tc>
        <w:tc>
          <w:tcPr>
            <w:tcW w:w="7371" w:type="dxa"/>
            <w:tcBorders>
              <w:top w:val="single" w:sz="4" w:space="0" w:color="auto"/>
              <w:left w:val="single" w:sz="4" w:space="0" w:color="auto"/>
              <w:bottom w:val="single" w:sz="4" w:space="0" w:color="auto"/>
              <w:right w:val="nil"/>
            </w:tcBorders>
            <w:hideMark/>
          </w:tcPr>
          <w:p w:rsidR="007C7D38" w:rsidRPr="00270F0F" w:rsidRDefault="007C7D38" w:rsidP="004903DE">
            <w:pPr>
              <w:jc w:val="center"/>
              <w:rPr>
                <w:b/>
                <w:sz w:val="20"/>
                <w:szCs w:val="20"/>
                <w:lang w:val="en-GB"/>
              </w:rPr>
            </w:pPr>
            <w:r w:rsidRPr="00270F0F">
              <w:rPr>
                <w:b/>
                <w:sz w:val="20"/>
                <w:szCs w:val="20"/>
                <w:lang w:val="en-GB"/>
              </w:rPr>
              <w:t>Characteristics</w:t>
            </w:r>
          </w:p>
        </w:tc>
      </w:tr>
      <w:tr w:rsidR="007C7D38" w:rsidRPr="00392ECE" w:rsidTr="004903DE">
        <w:trPr>
          <w:trHeight w:val="54"/>
        </w:trPr>
        <w:tc>
          <w:tcPr>
            <w:tcW w:w="1701" w:type="dxa"/>
            <w:tcBorders>
              <w:top w:val="single" w:sz="4" w:space="0" w:color="auto"/>
              <w:left w:val="nil"/>
              <w:bottom w:val="dashSmallGap" w:sz="4" w:space="0" w:color="auto"/>
              <w:right w:val="single" w:sz="4" w:space="0" w:color="auto"/>
            </w:tcBorders>
            <w:vAlign w:val="center"/>
            <w:hideMark/>
          </w:tcPr>
          <w:p w:rsidR="007C7D38" w:rsidRPr="00270F0F" w:rsidRDefault="007C7D38" w:rsidP="004903DE">
            <w:pPr>
              <w:rPr>
                <w:sz w:val="20"/>
                <w:szCs w:val="20"/>
                <w:lang w:val="en-GB"/>
              </w:rPr>
            </w:pPr>
            <w:r w:rsidRPr="00270F0F">
              <w:rPr>
                <w:sz w:val="20"/>
                <w:szCs w:val="20"/>
                <w:lang w:val="en-GB"/>
              </w:rPr>
              <w:t>Opportunity</w:t>
            </w:r>
          </w:p>
        </w:tc>
        <w:tc>
          <w:tcPr>
            <w:tcW w:w="7371" w:type="dxa"/>
            <w:tcBorders>
              <w:top w:val="single" w:sz="4" w:space="0" w:color="auto"/>
              <w:left w:val="single" w:sz="4" w:space="0" w:color="auto"/>
              <w:bottom w:val="dashSmallGap" w:sz="4" w:space="0" w:color="auto"/>
              <w:right w:val="nil"/>
            </w:tcBorders>
            <w:hideMark/>
          </w:tcPr>
          <w:p w:rsidR="007C7D38" w:rsidRPr="00270F0F" w:rsidRDefault="007C7D38" w:rsidP="004903DE">
            <w:pPr>
              <w:jc w:val="both"/>
              <w:rPr>
                <w:sz w:val="20"/>
                <w:szCs w:val="20"/>
                <w:lang w:val="en-GB"/>
              </w:rPr>
            </w:pPr>
            <w:r w:rsidRPr="00270F0F">
              <w:rPr>
                <w:sz w:val="20"/>
                <w:szCs w:val="20"/>
                <w:lang w:val="en-GB"/>
              </w:rPr>
              <w:t>Individual must show that he/she has sense of opportunity, i.e., is aware of what happens around him and then, when identify the needs of people or of the market, be able to take advantage of unusual situations to start new activities or business.</w:t>
            </w:r>
          </w:p>
        </w:tc>
      </w:tr>
      <w:tr w:rsidR="007C7D38" w:rsidRPr="00392ECE" w:rsidTr="004903DE">
        <w:trPr>
          <w:trHeight w:val="54"/>
        </w:trPr>
        <w:tc>
          <w:tcPr>
            <w:tcW w:w="1701" w:type="dxa"/>
            <w:tcBorders>
              <w:top w:val="dashSmallGap" w:sz="4" w:space="0" w:color="auto"/>
              <w:left w:val="nil"/>
              <w:bottom w:val="dashSmallGap" w:sz="4" w:space="0" w:color="auto"/>
              <w:right w:val="single" w:sz="4" w:space="0" w:color="auto"/>
            </w:tcBorders>
            <w:vAlign w:val="center"/>
            <w:hideMark/>
          </w:tcPr>
          <w:p w:rsidR="007C7D38" w:rsidRPr="00270F0F" w:rsidRDefault="007C7D38" w:rsidP="004903DE">
            <w:pPr>
              <w:rPr>
                <w:sz w:val="20"/>
                <w:szCs w:val="20"/>
                <w:lang w:val="en-GB"/>
              </w:rPr>
            </w:pPr>
            <w:r w:rsidRPr="00270F0F">
              <w:rPr>
                <w:sz w:val="20"/>
                <w:szCs w:val="20"/>
                <w:lang w:val="en-GB"/>
              </w:rPr>
              <w:t>Persistence</w:t>
            </w:r>
          </w:p>
        </w:tc>
        <w:tc>
          <w:tcPr>
            <w:tcW w:w="7371" w:type="dxa"/>
            <w:tcBorders>
              <w:top w:val="dashSmallGap" w:sz="4" w:space="0" w:color="auto"/>
              <w:left w:val="single" w:sz="4" w:space="0" w:color="auto"/>
              <w:bottom w:val="dashSmallGap" w:sz="4" w:space="0" w:color="auto"/>
              <w:right w:val="nil"/>
            </w:tcBorders>
            <w:hideMark/>
          </w:tcPr>
          <w:p w:rsidR="007C7D38" w:rsidRPr="00270F0F" w:rsidRDefault="007C7D38" w:rsidP="004903DE">
            <w:pPr>
              <w:jc w:val="both"/>
              <w:rPr>
                <w:sz w:val="20"/>
                <w:szCs w:val="20"/>
                <w:lang w:val="en-GB"/>
              </w:rPr>
            </w:pPr>
            <w:r w:rsidRPr="00270F0F">
              <w:rPr>
                <w:sz w:val="20"/>
                <w:szCs w:val="20"/>
                <w:lang w:val="en-GB"/>
              </w:rPr>
              <w:t>Individual’s capacity to remain steadfast in the pursuit of success, demonstrating persistence to achieve its objectives and goals, overcoming obstacles along the way. Capacity to distinguish persistence from stubbornness, admit mistakes and know how to redefine goals and strategies.</w:t>
            </w:r>
          </w:p>
        </w:tc>
      </w:tr>
      <w:tr w:rsidR="007C7D38" w:rsidRPr="00392ECE" w:rsidTr="004903DE">
        <w:trPr>
          <w:trHeight w:val="54"/>
        </w:trPr>
        <w:tc>
          <w:tcPr>
            <w:tcW w:w="1701" w:type="dxa"/>
            <w:tcBorders>
              <w:top w:val="dashSmallGap" w:sz="4" w:space="0" w:color="auto"/>
              <w:left w:val="nil"/>
              <w:bottom w:val="dashSmallGap" w:sz="4" w:space="0" w:color="auto"/>
              <w:right w:val="single" w:sz="4" w:space="0" w:color="auto"/>
            </w:tcBorders>
            <w:vAlign w:val="center"/>
            <w:hideMark/>
          </w:tcPr>
          <w:p w:rsidR="007C7D38" w:rsidRPr="00270F0F" w:rsidRDefault="007C7D38" w:rsidP="004903DE">
            <w:pPr>
              <w:rPr>
                <w:sz w:val="20"/>
                <w:szCs w:val="20"/>
                <w:lang w:val="en-GB"/>
              </w:rPr>
            </w:pPr>
            <w:r w:rsidRPr="00270F0F">
              <w:rPr>
                <w:sz w:val="20"/>
                <w:szCs w:val="20"/>
                <w:lang w:val="en-GB"/>
              </w:rPr>
              <w:t>Efficiency</w:t>
            </w:r>
          </w:p>
        </w:tc>
        <w:tc>
          <w:tcPr>
            <w:tcW w:w="7371" w:type="dxa"/>
            <w:tcBorders>
              <w:top w:val="dashSmallGap" w:sz="4" w:space="0" w:color="auto"/>
              <w:left w:val="single" w:sz="4" w:space="0" w:color="auto"/>
              <w:bottom w:val="dashSmallGap" w:sz="4" w:space="0" w:color="auto"/>
              <w:right w:val="nil"/>
            </w:tcBorders>
            <w:hideMark/>
          </w:tcPr>
          <w:p w:rsidR="007C7D38" w:rsidRPr="00270F0F" w:rsidRDefault="007C7D38" w:rsidP="004903DE">
            <w:pPr>
              <w:jc w:val="both"/>
              <w:rPr>
                <w:sz w:val="20"/>
                <w:szCs w:val="20"/>
                <w:lang w:val="en-GB"/>
              </w:rPr>
            </w:pPr>
            <w:r w:rsidRPr="00270F0F">
              <w:rPr>
                <w:sz w:val="20"/>
                <w:szCs w:val="20"/>
                <w:lang w:val="en-GB"/>
              </w:rPr>
              <w:t>Individual’s capacity to do things on the right way and, if necessary, quickly make changes to adapt itself to changes occurred in the environment. Capacity to find and achieve to operationalize ways of doing things better, faster and cheaper. Capacity to develop or use procedures to ensure that the work is completed on time.</w:t>
            </w:r>
          </w:p>
        </w:tc>
      </w:tr>
      <w:tr w:rsidR="007C7D38" w:rsidRPr="00270F0F" w:rsidTr="004903DE">
        <w:trPr>
          <w:trHeight w:val="69"/>
        </w:trPr>
        <w:tc>
          <w:tcPr>
            <w:tcW w:w="1701" w:type="dxa"/>
            <w:tcBorders>
              <w:top w:val="dashSmallGap" w:sz="4" w:space="0" w:color="auto"/>
              <w:left w:val="nil"/>
              <w:bottom w:val="dashSmallGap" w:sz="4" w:space="0" w:color="auto"/>
              <w:right w:val="single" w:sz="4" w:space="0" w:color="auto"/>
            </w:tcBorders>
            <w:vAlign w:val="center"/>
            <w:hideMark/>
          </w:tcPr>
          <w:p w:rsidR="007C7D38" w:rsidRPr="00270F0F" w:rsidRDefault="007C7D38" w:rsidP="004903DE">
            <w:pPr>
              <w:rPr>
                <w:sz w:val="20"/>
                <w:szCs w:val="20"/>
                <w:lang w:val="en-GB"/>
              </w:rPr>
            </w:pPr>
            <w:r w:rsidRPr="00270F0F">
              <w:rPr>
                <w:sz w:val="20"/>
                <w:szCs w:val="20"/>
                <w:lang w:val="en-GB"/>
              </w:rPr>
              <w:t>Goals</w:t>
            </w:r>
          </w:p>
        </w:tc>
        <w:tc>
          <w:tcPr>
            <w:tcW w:w="7371" w:type="dxa"/>
            <w:tcBorders>
              <w:top w:val="dashSmallGap" w:sz="4" w:space="0" w:color="auto"/>
              <w:left w:val="single" w:sz="4" w:space="0" w:color="auto"/>
              <w:bottom w:val="dashSmallGap" w:sz="4" w:space="0" w:color="auto"/>
              <w:right w:val="nil"/>
            </w:tcBorders>
            <w:hideMark/>
          </w:tcPr>
          <w:p w:rsidR="007C7D38" w:rsidRPr="00270F0F" w:rsidRDefault="007C7D38" w:rsidP="004903DE">
            <w:pPr>
              <w:jc w:val="both"/>
              <w:rPr>
                <w:sz w:val="20"/>
                <w:szCs w:val="20"/>
                <w:lang w:val="en-GB"/>
              </w:rPr>
            </w:pPr>
            <w:r w:rsidRPr="00270F0F">
              <w:rPr>
                <w:sz w:val="20"/>
                <w:szCs w:val="20"/>
                <w:lang w:val="en-GB"/>
              </w:rPr>
              <w:t>Individual’s capacity to show determination, sense of direction and set objectives and goals, defining clearly where he/she plans to arrive. Capacity to set directions and measurable objectives.</w:t>
            </w:r>
          </w:p>
        </w:tc>
      </w:tr>
      <w:tr w:rsidR="007C7D38" w:rsidRPr="00392ECE" w:rsidTr="004903DE">
        <w:trPr>
          <w:trHeight w:val="67"/>
        </w:trPr>
        <w:tc>
          <w:tcPr>
            <w:tcW w:w="1701" w:type="dxa"/>
            <w:tcBorders>
              <w:top w:val="dashSmallGap" w:sz="4" w:space="0" w:color="auto"/>
              <w:left w:val="nil"/>
              <w:bottom w:val="dashSmallGap" w:sz="4" w:space="0" w:color="auto"/>
              <w:right w:val="single" w:sz="4" w:space="0" w:color="auto"/>
            </w:tcBorders>
            <w:vAlign w:val="center"/>
            <w:hideMark/>
          </w:tcPr>
          <w:p w:rsidR="007C7D38" w:rsidRPr="00270F0F" w:rsidRDefault="007C7D38" w:rsidP="004903DE">
            <w:pPr>
              <w:rPr>
                <w:sz w:val="20"/>
                <w:szCs w:val="20"/>
                <w:lang w:val="en-GB"/>
              </w:rPr>
            </w:pPr>
            <w:r w:rsidRPr="00270F0F">
              <w:rPr>
                <w:sz w:val="20"/>
                <w:szCs w:val="20"/>
                <w:lang w:val="en-GB"/>
              </w:rPr>
              <w:t>Information</w:t>
            </w:r>
          </w:p>
        </w:tc>
        <w:tc>
          <w:tcPr>
            <w:tcW w:w="7371" w:type="dxa"/>
            <w:tcBorders>
              <w:top w:val="dashSmallGap" w:sz="4" w:space="0" w:color="auto"/>
              <w:left w:val="single" w:sz="4" w:space="0" w:color="auto"/>
              <w:bottom w:val="dashSmallGap" w:sz="4" w:space="0" w:color="auto"/>
              <w:right w:val="nil"/>
            </w:tcBorders>
            <w:hideMark/>
          </w:tcPr>
          <w:p w:rsidR="007C7D38" w:rsidRPr="00270F0F" w:rsidRDefault="007C7D38" w:rsidP="004903DE">
            <w:pPr>
              <w:jc w:val="both"/>
              <w:rPr>
                <w:sz w:val="20"/>
                <w:szCs w:val="20"/>
                <w:lang w:val="en-GB"/>
              </w:rPr>
            </w:pPr>
            <w:r w:rsidRPr="00270F0F">
              <w:rPr>
                <w:sz w:val="20"/>
                <w:szCs w:val="20"/>
                <w:lang w:val="en-GB"/>
              </w:rPr>
              <w:t>Individual’s availability to learn and demonstrate thirst for knowledge. Interest in finding new information in his area or beyond. Attention with all the internal and external factors related to his organization/company/business. Interest in how manufacture products or provide services. Availability to seek expert help on technical or commercial matters.</w:t>
            </w:r>
          </w:p>
        </w:tc>
      </w:tr>
      <w:tr w:rsidR="007C7D38" w:rsidRPr="00392ECE" w:rsidTr="004903DE">
        <w:trPr>
          <w:trHeight w:val="67"/>
        </w:trPr>
        <w:tc>
          <w:tcPr>
            <w:tcW w:w="1701" w:type="dxa"/>
            <w:tcBorders>
              <w:top w:val="dashSmallGap" w:sz="4" w:space="0" w:color="auto"/>
              <w:left w:val="nil"/>
              <w:bottom w:val="dashSmallGap" w:sz="4" w:space="0" w:color="auto"/>
              <w:right w:val="single" w:sz="4" w:space="0" w:color="auto"/>
            </w:tcBorders>
            <w:vAlign w:val="center"/>
            <w:hideMark/>
          </w:tcPr>
          <w:p w:rsidR="007C7D38" w:rsidRPr="00270F0F" w:rsidRDefault="007C7D38" w:rsidP="004903DE">
            <w:pPr>
              <w:rPr>
                <w:sz w:val="20"/>
                <w:szCs w:val="20"/>
                <w:lang w:val="en-GB"/>
              </w:rPr>
            </w:pPr>
            <w:r w:rsidRPr="00270F0F">
              <w:rPr>
                <w:sz w:val="20"/>
                <w:szCs w:val="20"/>
                <w:lang w:val="en-GB"/>
              </w:rPr>
              <w:t>Planning</w:t>
            </w:r>
          </w:p>
        </w:tc>
        <w:tc>
          <w:tcPr>
            <w:tcW w:w="7371" w:type="dxa"/>
            <w:tcBorders>
              <w:top w:val="dashSmallGap" w:sz="4" w:space="0" w:color="auto"/>
              <w:left w:val="single" w:sz="4" w:space="0" w:color="auto"/>
              <w:bottom w:val="dashSmallGap" w:sz="4" w:space="0" w:color="auto"/>
              <w:right w:val="nil"/>
            </w:tcBorders>
            <w:hideMark/>
          </w:tcPr>
          <w:p w:rsidR="007C7D38" w:rsidRPr="00270F0F" w:rsidRDefault="007C7D38" w:rsidP="004903DE">
            <w:pPr>
              <w:jc w:val="both"/>
              <w:rPr>
                <w:sz w:val="20"/>
                <w:szCs w:val="20"/>
                <w:lang w:val="en-GB"/>
              </w:rPr>
            </w:pPr>
            <w:r w:rsidRPr="00270F0F">
              <w:rPr>
                <w:sz w:val="20"/>
                <w:szCs w:val="20"/>
                <w:lang w:val="en-GB"/>
              </w:rPr>
              <w:t>Individual’s availability to plan his activities by setting objectives. Capacity to detail the tasks and being able to work with planning, execution and control.</w:t>
            </w:r>
          </w:p>
        </w:tc>
      </w:tr>
      <w:tr w:rsidR="007C7D38" w:rsidRPr="00392ECE" w:rsidTr="004903DE">
        <w:trPr>
          <w:trHeight w:val="67"/>
        </w:trPr>
        <w:tc>
          <w:tcPr>
            <w:tcW w:w="1701" w:type="dxa"/>
            <w:tcBorders>
              <w:top w:val="dashSmallGap" w:sz="4" w:space="0" w:color="auto"/>
              <w:left w:val="nil"/>
              <w:bottom w:val="dashSmallGap" w:sz="4" w:space="0" w:color="auto"/>
              <w:right w:val="single" w:sz="4" w:space="0" w:color="auto"/>
            </w:tcBorders>
            <w:vAlign w:val="center"/>
            <w:hideMark/>
          </w:tcPr>
          <w:p w:rsidR="007C7D38" w:rsidRPr="00270F0F" w:rsidRDefault="007C7D38" w:rsidP="004903DE">
            <w:pPr>
              <w:rPr>
                <w:sz w:val="20"/>
                <w:szCs w:val="20"/>
                <w:lang w:val="en-GB"/>
              </w:rPr>
            </w:pPr>
            <w:r w:rsidRPr="00270F0F">
              <w:rPr>
                <w:sz w:val="20"/>
                <w:szCs w:val="20"/>
                <w:lang w:val="en-GB"/>
              </w:rPr>
              <w:t>Control</w:t>
            </w:r>
          </w:p>
        </w:tc>
        <w:tc>
          <w:tcPr>
            <w:tcW w:w="7371" w:type="dxa"/>
            <w:tcBorders>
              <w:top w:val="dashSmallGap" w:sz="4" w:space="0" w:color="auto"/>
              <w:left w:val="single" w:sz="4" w:space="0" w:color="auto"/>
              <w:bottom w:val="dashSmallGap" w:sz="4" w:space="0" w:color="auto"/>
              <w:right w:val="nil"/>
            </w:tcBorders>
            <w:hideMark/>
          </w:tcPr>
          <w:p w:rsidR="007C7D38" w:rsidRPr="00270F0F" w:rsidRDefault="007C7D38" w:rsidP="004903DE">
            <w:pPr>
              <w:jc w:val="both"/>
              <w:rPr>
                <w:sz w:val="20"/>
                <w:szCs w:val="20"/>
                <w:lang w:val="en-GB"/>
              </w:rPr>
            </w:pPr>
            <w:r w:rsidRPr="00270F0F">
              <w:rPr>
                <w:sz w:val="20"/>
                <w:szCs w:val="20"/>
                <w:lang w:val="en-GB"/>
              </w:rPr>
              <w:t>Individual’s capacity to monitor the implementation of the elaborated plans, keep records and use them in the decision making process, check the reach of the results obtained.</w:t>
            </w:r>
          </w:p>
        </w:tc>
      </w:tr>
      <w:tr w:rsidR="007C7D38" w:rsidRPr="00392ECE" w:rsidTr="004903DE">
        <w:trPr>
          <w:trHeight w:val="70"/>
        </w:trPr>
        <w:tc>
          <w:tcPr>
            <w:tcW w:w="1701" w:type="dxa"/>
            <w:tcBorders>
              <w:top w:val="dashSmallGap" w:sz="4" w:space="0" w:color="auto"/>
              <w:left w:val="nil"/>
              <w:bottom w:val="dashSmallGap" w:sz="4" w:space="0" w:color="auto"/>
              <w:right w:val="single" w:sz="4" w:space="0" w:color="auto"/>
            </w:tcBorders>
            <w:vAlign w:val="center"/>
            <w:hideMark/>
          </w:tcPr>
          <w:p w:rsidR="007C7D38" w:rsidRPr="00270F0F" w:rsidRDefault="007C7D38" w:rsidP="004903DE">
            <w:pPr>
              <w:rPr>
                <w:sz w:val="20"/>
                <w:szCs w:val="20"/>
                <w:lang w:val="en-GB"/>
              </w:rPr>
            </w:pPr>
            <w:r w:rsidRPr="00270F0F">
              <w:rPr>
                <w:sz w:val="20"/>
                <w:szCs w:val="20"/>
                <w:lang w:val="en-GB"/>
              </w:rPr>
              <w:t>Persuasion</w:t>
            </w:r>
          </w:p>
        </w:tc>
        <w:tc>
          <w:tcPr>
            <w:tcW w:w="7371" w:type="dxa"/>
            <w:tcBorders>
              <w:top w:val="dashSmallGap" w:sz="4" w:space="0" w:color="auto"/>
              <w:left w:val="single" w:sz="4" w:space="0" w:color="auto"/>
              <w:bottom w:val="dashSmallGap" w:sz="4" w:space="0" w:color="auto"/>
              <w:right w:val="nil"/>
            </w:tcBorders>
            <w:hideMark/>
          </w:tcPr>
          <w:p w:rsidR="007C7D38" w:rsidRPr="00270F0F" w:rsidRDefault="007C7D38" w:rsidP="004903DE">
            <w:pPr>
              <w:jc w:val="both"/>
              <w:rPr>
                <w:sz w:val="20"/>
                <w:szCs w:val="20"/>
                <w:lang w:val="en-GB"/>
              </w:rPr>
            </w:pPr>
            <w:r w:rsidRPr="00270F0F">
              <w:rPr>
                <w:sz w:val="20"/>
                <w:szCs w:val="20"/>
                <w:lang w:val="en-GB"/>
              </w:rPr>
              <w:t>Individual’s ability to influence people for the execution of tasks or actions that enable the achievement of his goal. Capacity to convince and motivate people, lead teams and encourage them using the words and actions appropriated to influence and persuade.</w:t>
            </w:r>
          </w:p>
        </w:tc>
      </w:tr>
      <w:tr w:rsidR="007C7D38" w:rsidRPr="00392ECE" w:rsidTr="004903DE">
        <w:trPr>
          <w:trHeight w:val="70"/>
        </w:trPr>
        <w:tc>
          <w:tcPr>
            <w:tcW w:w="1701" w:type="dxa"/>
            <w:tcBorders>
              <w:top w:val="dashSmallGap" w:sz="4" w:space="0" w:color="auto"/>
              <w:left w:val="nil"/>
              <w:bottom w:val="dashSmallGap" w:sz="4" w:space="0" w:color="auto"/>
              <w:right w:val="single" w:sz="4" w:space="0" w:color="auto"/>
            </w:tcBorders>
            <w:vAlign w:val="center"/>
            <w:hideMark/>
          </w:tcPr>
          <w:p w:rsidR="007C7D38" w:rsidRPr="00270F0F" w:rsidRDefault="007C7D38" w:rsidP="004903DE">
            <w:pPr>
              <w:rPr>
                <w:sz w:val="20"/>
                <w:szCs w:val="20"/>
                <w:lang w:val="en-GB"/>
              </w:rPr>
            </w:pPr>
            <w:r w:rsidRPr="00270F0F">
              <w:rPr>
                <w:sz w:val="20"/>
                <w:szCs w:val="20"/>
                <w:lang w:val="en-GB"/>
              </w:rPr>
              <w:t>Network</w:t>
            </w:r>
          </w:p>
        </w:tc>
        <w:tc>
          <w:tcPr>
            <w:tcW w:w="7371" w:type="dxa"/>
            <w:tcBorders>
              <w:top w:val="dashSmallGap" w:sz="4" w:space="0" w:color="auto"/>
              <w:left w:val="single" w:sz="4" w:space="0" w:color="auto"/>
              <w:bottom w:val="dashSmallGap" w:sz="4" w:space="0" w:color="auto"/>
              <w:right w:val="nil"/>
            </w:tcBorders>
            <w:hideMark/>
          </w:tcPr>
          <w:p w:rsidR="007C7D38" w:rsidRPr="00270F0F" w:rsidRDefault="007C7D38" w:rsidP="004903DE">
            <w:pPr>
              <w:jc w:val="both"/>
              <w:rPr>
                <w:sz w:val="20"/>
                <w:szCs w:val="20"/>
                <w:lang w:val="en-GB"/>
              </w:rPr>
            </w:pPr>
            <w:r w:rsidRPr="00270F0F">
              <w:rPr>
                <w:sz w:val="20"/>
                <w:szCs w:val="20"/>
                <w:lang w:val="en-GB"/>
              </w:rPr>
              <w:t>Individual’s capacity to establish a good network of relationships with acquaintances, friends and people who may be helpful to him, making possible the achievement of his objectives.</w:t>
            </w:r>
          </w:p>
        </w:tc>
      </w:tr>
      <w:tr w:rsidR="007C7D38" w:rsidRPr="00392ECE" w:rsidTr="004903DE">
        <w:tc>
          <w:tcPr>
            <w:tcW w:w="1701" w:type="dxa"/>
            <w:tcBorders>
              <w:top w:val="dashSmallGap" w:sz="4" w:space="0" w:color="auto"/>
              <w:left w:val="nil"/>
              <w:bottom w:val="single" w:sz="4" w:space="0" w:color="auto"/>
              <w:right w:val="single" w:sz="4" w:space="0" w:color="auto"/>
            </w:tcBorders>
            <w:vAlign w:val="center"/>
            <w:hideMark/>
          </w:tcPr>
          <w:p w:rsidR="007C7D38" w:rsidRPr="00270F0F" w:rsidRDefault="007C7D38" w:rsidP="004903DE">
            <w:pPr>
              <w:rPr>
                <w:sz w:val="20"/>
                <w:szCs w:val="20"/>
                <w:lang w:val="en-GB"/>
              </w:rPr>
            </w:pPr>
            <w:r w:rsidRPr="00270F0F">
              <w:rPr>
                <w:sz w:val="20"/>
                <w:szCs w:val="20"/>
                <w:lang w:val="en-GB"/>
              </w:rPr>
              <w:t>Entrepreneurial Intention</w:t>
            </w:r>
          </w:p>
        </w:tc>
        <w:tc>
          <w:tcPr>
            <w:tcW w:w="7371" w:type="dxa"/>
            <w:tcBorders>
              <w:top w:val="dashSmallGap" w:sz="4" w:space="0" w:color="auto"/>
              <w:left w:val="single" w:sz="4" w:space="0" w:color="auto"/>
              <w:bottom w:val="single" w:sz="4" w:space="0" w:color="auto"/>
              <w:right w:val="nil"/>
            </w:tcBorders>
            <w:hideMark/>
          </w:tcPr>
          <w:p w:rsidR="007C7D38" w:rsidRPr="00270F0F" w:rsidRDefault="007C7D38" w:rsidP="004903DE">
            <w:pPr>
              <w:jc w:val="both"/>
              <w:rPr>
                <w:sz w:val="20"/>
                <w:szCs w:val="20"/>
                <w:lang w:val="en-GB"/>
              </w:rPr>
            </w:pPr>
            <w:r w:rsidRPr="00270F0F">
              <w:rPr>
                <w:sz w:val="20"/>
                <w:szCs w:val="20"/>
                <w:lang w:val="en-GB"/>
              </w:rPr>
              <w:t>Foreshadows the individual’s intention to have, either by acquiring or from scratch, his own business.</w:t>
            </w:r>
          </w:p>
        </w:tc>
      </w:tr>
    </w:tbl>
    <w:p w:rsidR="007C7D38" w:rsidRPr="00270F0F" w:rsidRDefault="007C7D38" w:rsidP="007C7D38">
      <w:pPr>
        <w:spacing w:after="120"/>
        <w:rPr>
          <w:szCs w:val="20"/>
          <w:lang w:val="en-GB"/>
        </w:rPr>
      </w:pPr>
      <w:r w:rsidRPr="00270F0F">
        <w:rPr>
          <w:sz w:val="20"/>
          <w:szCs w:val="20"/>
          <w:lang w:val="en-GB"/>
        </w:rPr>
        <w:t>Source:</w:t>
      </w:r>
      <w:r w:rsidRPr="0046532E">
        <w:rPr>
          <w:lang w:val="en-US"/>
        </w:rPr>
        <w:t xml:space="preserve"> </w:t>
      </w:r>
      <w:r w:rsidRPr="004F65B2">
        <w:rPr>
          <w:sz w:val="20"/>
          <w:szCs w:val="20"/>
          <w:lang w:val="en-GB"/>
        </w:rPr>
        <w:t>Adapted from</w:t>
      </w:r>
      <w:r w:rsidRPr="00270F0F">
        <w:rPr>
          <w:sz w:val="20"/>
          <w:szCs w:val="20"/>
          <w:lang w:val="en-GB"/>
        </w:rPr>
        <w:t xml:space="preserve"> Santos (2008, pp. 197-198).</w:t>
      </w:r>
    </w:p>
    <w:p w:rsidR="00023D1E" w:rsidRPr="007C7D38" w:rsidRDefault="00023D1E">
      <w:pPr>
        <w:rPr>
          <w:lang w:val="en-GB"/>
        </w:rPr>
      </w:pPr>
      <w:bookmarkStart w:id="0" w:name="_GoBack"/>
      <w:bookmarkEnd w:id="0"/>
    </w:p>
    <w:sectPr w:rsidR="00023D1E" w:rsidRPr="007C7D38">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8BC" w:rsidRDefault="00D108BC" w:rsidP="00D108BC">
      <w:r>
        <w:separator/>
      </w:r>
    </w:p>
  </w:endnote>
  <w:endnote w:type="continuationSeparator" w:id="0">
    <w:p w:rsidR="00D108BC" w:rsidRDefault="00D108BC" w:rsidP="00D1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BC" w:rsidRDefault="00D108B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BC" w:rsidRDefault="00D108B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BC" w:rsidRDefault="00D108B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8BC" w:rsidRDefault="00D108BC" w:rsidP="00D108BC">
      <w:r>
        <w:separator/>
      </w:r>
    </w:p>
  </w:footnote>
  <w:footnote w:type="continuationSeparator" w:id="0">
    <w:p w:rsidR="00D108BC" w:rsidRDefault="00D108BC" w:rsidP="00D10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BC" w:rsidRDefault="00D108B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BC" w:rsidRDefault="00D108B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BC" w:rsidRDefault="00D108B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8"/>
    <w:rsid w:val="00023D1E"/>
    <w:rsid w:val="007C7D38"/>
    <w:rsid w:val="00D108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D3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108BC"/>
    <w:pPr>
      <w:tabs>
        <w:tab w:val="center" w:pos="4252"/>
        <w:tab w:val="right" w:pos="8504"/>
      </w:tabs>
    </w:pPr>
  </w:style>
  <w:style w:type="character" w:customStyle="1" w:styleId="CabealhoChar">
    <w:name w:val="Cabeçalho Char"/>
    <w:basedOn w:val="Fontepargpadro"/>
    <w:link w:val="Cabealho"/>
    <w:uiPriority w:val="99"/>
    <w:rsid w:val="00D108B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108BC"/>
    <w:pPr>
      <w:tabs>
        <w:tab w:val="center" w:pos="4252"/>
        <w:tab w:val="right" w:pos="8504"/>
      </w:tabs>
    </w:pPr>
  </w:style>
  <w:style w:type="character" w:customStyle="1" w:styleId="RodapChar">
    <w:name w:val="Rodapé Char"/>
    <w:basedOn w:val="Fontepargpadro"/>
    <w:link w:val="Rodap"/>
    <w:uiPriority w:val="99"/>
    <w:rsid w:val="00D108BC"/>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2170</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2016-07-18T17:03:00Z</dcterms:created>
  <dcterms:modified xsi:type="dcterms:W3CDTF">2016-07-18T17:03:00Z</dcterms:modified>
</cp:coreProperties>
</file>