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AB" w:rsidRPr="000015DE" w:rsidRDefault="00DA22AB" w:rsidP="00DA2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15DE">
        <w:rPr>
          <w:rFonts w:ascii="Times New Roman" w:eastAsia="Times New Roman" w:hAnsi="Times New Roman" w:cs="Times New Roman"/>
          <w:sz w:val="24"/>
          <w:szCs w:val="24"/>
          <w:lang w:val="en-US"/>
        </w:rPr>
        <w:t>Table 2. Ixtlán Group enterprises and number of workers by gender in 2012</w:t>
      </w:r>
    </w:p>
    <w:tbl>
      <w:tblPr>
        <w:tblW w:w="9918" w:type="dxa"/>
        <w:tblInd w:w="-108" w:type="dxa"/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420"/>
        <w:gridCol w:w="1170"/>
        <w:gridCol w:w="1281"/>
        <w:gridCol w:w="879"/>
      </w:tblGrid>
      <w:tr w:rsidR="00DA22AB" w:rsidRPr="000015DE" w:rsidTr="000D1F12">
        <w:tc>
          <w:tcPr>
            <w:tcW w:w="3168" w:type="dxa"/>
            <w:tcBorders>
              <w:left w:val="nil"/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Enterprise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Main activity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Women 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Men</w:t>
            </w:r>
          </w:p>
        </w:tc>
        <w:tc>
          <w:tcPr>
            <w:tcW w:w="879" w:type="dxa"/>
            <w:tcBorders>
              <w:bottom w:val="single" w:sz="4" w:space="0" w:color="000000"/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DA22AB" w:rsidRPr="000015DE" w:rsidTr="000D1F12">
        <w:tc>
          <w:tcPr>
            <w:tcW w:w="3168" w:type="dxa"/>
            <w:tcBorders>
              <w:top w:val="single" w:sz="4" w:space="0" w:color="000000"/>
              <w:lef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UCFAS</w:t>
            </w:r>
          </w:p>
        </w:tc>
        <w:tc>
          <w:tcPr>
            <w:tcW w:w="3420" w:type="dxa"/>
            <w:tcBorders>
              <w:top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Sawmill and furniture Factory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9" w:type="dxa"/>
            <w:tcBorders>
              <w:top w:val="single" w:sz="4" w:space="0" w:color="000000"/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DA22AB" w:rsidRPr="000015DE" w:rsidTr="000D1F12">
        <w:tc>
          <w:tcPr>
            <w:tcW w:w="3168" w:type="dxa"/>
            <w:tcBorders>
              <w:lef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UNFOSTI</w:t>
            </w:r>
          </w:p>
        </w:tc>
        <w:tc>
          <w:tcPr>
            <w:tcW w:w="342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Timber exploitation</w:t>
            </w:r>
          </w:p>
        </w:tc>
        <w:tc>
          <w:tcPr>
            <w:tcW w:w="117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9" w:type="dxa"/>
            <w:tcBorders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A22AB" w:rsidRPr="000015DE" w:rsidTr="000D1F12">
        <w:tc>
          <w:tcPr>
            <w:tcW w:w="3168" w:type="dxa"/>
            <w:tcBorders>
              <w:lef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Servicios Técnicos Forestales (STF)</w:t>
            </w:r>
          </w:p>
        </w:tc>
        <w:tc>
          <w:tcPr>
            <w:tcW w:w="342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Forest sustainable management</w:t>
            </w:r>
          </w:p>
        </w:tc>
        <w:tc>
          <w:tcPr>
            <w:tcW w:w="117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9" w:type="dxa"/>
            <w:tcBorders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22AB" w:rsidRPr="000015DE" w:rsidTr="000D1F12">
        <w:tc>
          <w:tcPr>
            <w:tcW w:w="3168" w:type="dxa"/>
            <w:tcBorders>
              <w:lef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Tienda Comunitaria Ixtleca</w:t>
            </w:r>
          </w:p>
        </w:tc>
        <w:tc>
          <w:tcPr>
            <w:tcW w:w="342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Building materials and hardware store</w:t>
            </w:r>
          </w:p>
        </w:tc>
        <w:tc>
          <w:tcPr>
            <w:tcW w:w="117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A22AB" w:rsidRPr="000015DE" w:rsidTr="000D1F12">
        <w:tc>
          <w:tcPr>
            <w:tcW w:w="3168" w:type="dxa"/>
            <w:tcBorders>
              <w:lef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Gasolinera Comunidad Agraria</w:t>
            </w:r>
          </w:p>
        </w:tc>
        <w:tc>
          <w:tcPr>
            <w:tcW w:w="342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Gas station</w:t>
            </w:r>
          </w:p>
        </w:tc>
        <w:tc>
          <w:tcPr>
            <w:tcW w:w="117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A22AB" w:rsidRPr="000015DE" w:rsidTr="000D1F12">
        <w:tc>
          <w:tcPr>
            <w:tcW w:w="3168" w:type="dxa"/>
            <w:tcBorders>
              <w:lef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Ecoturixtlán SPR de RI</w:t>
            </w:r>
          </w:p>
        </w:tc>
        <w:tc>
          <w:tcPr>
            <w:tcW w:w="342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Eco tourism park</w:t>
            </w:r>
          </w:p>
        </w:tc>
        <w:tc>
          <w:tcPr>
            <w:tcW w:w="117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22AB" w:rsidRPr="000015DE" w:rsidTr="000D1F12">
        <w:tc>
          <w:tcPr>
            <w:tcW w:w="3168" w:type="dxa"/>
            <w:tcBorders>
              <w:lef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Fideicomiso de Ixtlán</w:t>
            </w:r>
          </w:p>
        </w:tc>
        <w:tc>
          <w:tcPr>
            <w:tcW w:w="342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Productive micro-lending</w:t>
            </w:r>
          </w:p>
        </w:tc>
        <w:tc>
          <w:tcPr>
            <w:tcW w:w="1170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1" w:type="dxa"/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22AB" w:rsidRPr="000015DE" w:rsidTr="000D1F12">
        <w:tc>
          <w:tcPr>
            <w:tcW w:w="3168" w:type="dxa"/>
            <w:tcBorders>
              <w:left w:val="nil"/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60 (28%)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158(72%)</w:t>
            </w:r>
          </w:p>
        </w:tc>
        <w:tc>
          <w:tcPr>
            <w:tcW w:w="879" w:type="dxa"/>
            <w:tcBorders>
              <w:bottom w:val="single" w:sz="4" w:space="0" w:color="000000"/>
              <w:right w:val="nil"/>
            </w:tcBorders>
          </w:tcPr>
          <w:p w:rsidR="00DA22AB" w:rsidRPr="000015DE" w:rsidRDefault="00DA22AB" w:rsidP="000D1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15DE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</w:tr>
    </w:tbl>
    <w:p w:rsidR="00DA22AB" w:rsidRPr="000015DE" w:rsidRDefault="00DA22AB" w:rsidP="00DA22A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015DE">
        <w:rPr>
          <w:rFonts w:ascii="Times New Roman" w:eastAsia="Times New Roman" w:hAnsi="Times New Roman" w:cs="Times New Roman"/>
          <w:sz w:val="20"/>
          <w:szCs w:val="20"/>
          <w:lang w:val="en-US"/>
        </w:rPr>
        <w:t>Source: Elaborated by authors with data from Vázquez-Maguirre (2012)</w:t>
      </w:r>
    </w:p>
    <w:p w:rsidR="003C1AF4" w:rsidRPr="00DA22AB" w:rsidRDefault="003C1AF4">
      <w:pPr>
        <w:rPr>
          <w:lang w:val="en-US"/>
        </w:rPr>
      </w:pPr>
      <w:bookmarkStart w:id="0" w:name="_GoBack"/>
      <w:bookmarkEnd w:id="0"/>
    </w:p>
    <w:sectPr w:rsidR="003C1AF4" w:rsidRPr="00DA22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CEA" w:rsidRDefault="00B35CEA" w:rsidP="00B35CEA">
      <w:pPr>
        <w:spacing w:after="0" w:line="240" w:lineRule="auto"/>
      </w:pPr>
      <w:r>
        <w:separator/>
      </w:r>
    </w:p>
  </w:endnote>
  <w:endnote w:type="continuationSeparator" w:id="0">
    <w:p w:rsidR="00B35CEA" w:rsidRDefault="00B35CEA" w:rsidP="00B3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EA" w:rsidRDefault="00B35C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EA" w:rsidRDefault="00B35C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EA" w:rsidRDefault="00B35C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CEA" w:rsidRDefault="00B35CEA" w:rsidP="00B35CEA">
      <w:pPr>
        <w:spacing w:after="0" w:line="240" w:lineRule="auto"/>
      </w:pPr>
      <w:r>
        <w:separator/>
      </w:r>
    </w:p>
  </w:footnote>
  <w:footnote w:type="continuationSeparator" w:id="0">
    <w:p w:rsidR="00B35CEA" w:rsidRDefault="00B35CEA" w:rsidP="00B3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EA" w:rsidRDefault="00B35C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EA" w:rsidRDefault="00B35CE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EA" w:rsidRDefault="00B35C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AB"/>
    <w:rsid w:val="003C1AF4"/>
    <w:rsid w:val="00B35CEA"/>
    <w:rsid w:val="00D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22AB"/>
    <w:pPr>
      <w:spacing w:after="200" w:line="276" w:lineRule="auto"/>
    </w:pPr>
    <w:rPr>
      <w:rFonts w:ascii="Calibri" w:eastAsia="Calibri" w:hAnsi="Calibri" w:cs="Calibri"/>
      <w:color w:val="000000"/>
      <w:lang w:val="es-MX" w:eastAsia="es-MX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5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CEA"/>
    <w:rPr>
      <w:rFonts w:ascii="Calibri" w:eastAsia="Calibri" w:hAnsi="Calibri" w:cs="Calibri"/>
      <w:color w:val="000000"/>
      <w:lang w:val="es-MX" w:eastAsia="es-MX"/>
    </w:rPr>
  </w:style>
  <w:style w:type="paragraph" w:styleId="Rodap">
    <w:name w:val="footer"/>
    <w:basedOn w:val="Normal"/>
    <w:link w:val="RodapChar"/>
    <w:uiPriority w:val="99"/>
    <w:unhideWhenUsed/>
    <w:rsid w:val="00B35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CEA"/>
    <w:rPr>
      <w:rFonts w:ascii="Calibri" w:eastAsia="Calibri" w:hAnsi="Calibri" w:cs="Calibri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2016-09-30T17:22:00Z</dcterms:created>
  <dcterms:modified xsi:type="dcterms:W3CDTF">2016-09-30T17:22:00Z</dcterms:modified>
</cp:coreProperties>
</file>