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82" w:rsidRDefault="00FA7982" w:rsidP="00FA798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2</w:t>
      </w:r>
    </w:p>
    <w:p w:rsidR="00FA7982" w:rsidRDefault="00FA7982" w:rsidP="00FA798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Indicators of Goodness-of-Fit of Models in the Confirmatory Factor Analysis</w:t>
      </w:r>
    </w:p>
    <w:tbl>
      <w:tblPr>
        <w:tblW w:w="9238" w:type="dxa"/>
        <w:tblInd w:w="5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9"/>
        <w:gridCol w:w="890"/>
        <w:gridCol w:w="567"/>
        <w:gridCol w:w="567"/>
        <w:gridCol w:w="709"/>
        <w:gridCol w:w="955"/>
        <w:gridCol w:w="1327"/>
        <w:gridCol w:w="738"/>
        <w:gridCol w:w="886"/>
      </w:tblGrid>
      <w:tr w:rsidR="00FA7982" w:rsidTr="00B32110">
        <w:trPr>
          <w:trHeight w:val="245"/>
        </w:trPr>
        <w:tc>
          <w:tcPr>
            <w:tcW w:w="25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χ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gl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GFI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CFI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RMSEA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RMSEA</w:t>
            </w:r>
          </w:p>
        </w:tc>
        <w:tc>
          <w:tcPr>
            <w:tcW w:w="7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SRMR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Δχ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FA7982" w:rsidTr="00B32110">
        <w:trPr>
          <w:trHeight w:val="76"/>
        </w:trPr>
        <w:tc>
          <w:tcPr>
            <w:tcW w:w="259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Four factors (proposed)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245.88**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0.91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0.94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0.08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[0.07-0.09]</w:t>
            </w:r>
          </w:p>
        </w:tc>
        <w:tc>
          <w:tcPr>
            <w:tcW w:w="738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0.05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A7982" w:rsidTr="00B3211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Three factors</w:t>
            </w:r>
            <w:r>
              <w:rPr>
                <w:rFonts w:ascii="Times New Roman" w:hAnsi="Times New Roman"/>
                <w:szCs w:val="24"/>
                <w:vertAlign w:val="superscript"/>
              </w:rPr>
              <w:t>a</w:t>
            </w:r>
          </w:p>
        </w:tc>
        <w:tc>
          <w:tcPr>
            <w:tcW w:w="890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313.89**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0.91</w:t>
            </w:r>
          </w:p>
        </w:tc>
        <w:tc>
          <w:tcPr>
            <w:tcW w:w="955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0.09</w:t>
            </w:r>
          </w:p>
        </w:tc>
        <w:tc>
          <w:tcPr>
            <w:tcW w:w="132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[0.08-0.11]</w:t>
            </w:r>
          </w:p>
        </w:tc>
        <w:tc>
          <w:tcPr>
            <w:tcW w:w="738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0.05</w:t>
            </w:r>
          </w:p>
        </w:tc>
        <w:tc>
          <w:tcPr>
            <w:tcW w:w="886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68.01**</w:t>
            </w:r>
          </w:p>
        </w:tc>
      </w:tr>
      <w:tr w:rsidR="00FA7982" w:rsidTr="00B3211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Two factors (1)</w:t>
            </w:r>
            <w:r>
              <w:rPr>
                <w:rFonts w:ascii="Times New Roman" w:hAnsi="Times New Roman"/>
                <w:szCs w:val="24"/>
                <w:vertAlign w:val="superscript"/>
              </w:rPr>
              <w:t>b</w:t>
            </w:r>
          </w:p>
        </w:tc>
        <w:tc>
          <w:tcPr>
            <w:tcW w:w="890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384.95**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0.88</w:t>
            </w:r>
          </w:p>
        </w:tc>
        <w:tc>
          <w:tcPr>
            <w:tcW w:w="955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0.11</w:t>
            </w:r>
          </w:p>
        </w:tc>
        <w:tc>
          <w:tcPr>
            <w:tcW w:w="132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[0.09-0.12]</w:t>
            </w:r>
          </w:p>
        </w:tc>
        <w:tc>
          <w:tcPr>
            <w:tcW w:w="738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0.06</w:t>
            </w:r>
          </w:p>
        </w:tc>
        <w:tc>
          <w:tcPr>
            <w:tcW w:w="886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139.07**</w:t>
            </w:r>
          </w:p>
        </w:tc>
      </w:tr>
      <w:tr w:rsidR="00FA7982" w:rsidTr="00B3211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Two factors (2)</w:t>
            </w:r>
            <w:r>
              <w:rPr>
                <w:rFonts w:ascii="Times New Roman" w:hAnsi="Times New Roman"/>
                <w:szCs w:val="24"/>
                <w:vertAlign w:val="superscript"/>
              </w:rPr>
              <w:t>c</w:t>
            </w:r>
          </w:p>
        </w:tc>
        <w:tc>
          <w:tcPr>
            <w:tcW w:w="890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463.05**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0.82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0.85</w:t>
            </w:r>
          </w:p>
        </w:tc>
        <w:tc>
          <w:tcPr>
            <w:tcW w:w="955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0.12</w:t>
            </w:r>
          </w:p>
        </w:tc>
        <w:tc>
          <w:tcPr>
            <w:tcW w:w="1327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[0.11-0.13]</w:t>
            </w:r>
          </w:p>
        </w:tc>
        <w:tc>
          <w:tcPr>
            <w:tcW w:w="738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0.07</w:t>
            </w:r>
          </w:p>
        </w:tc>
        <w:tc>
          <w:tcPr>
            <w:tcW w:w="886" w:type="dxa"/>
            <w:tcBorders>
              <w:left w:val="nil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219.17**</w:t>
            </w:r>
          </w:p>
        </w:tc>
      </w:tr>
      <w:tr w:rsidR="00FA7982" w:rsidTr="00B32110">
        <w:trPr>
          <w:trHeight w:val="210"/>
        </w:trPr>
        <w:tc>
          <w:tcPr>
            <w:tcW w:w="2599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One factor</w:t>
            </w:r>
          </w:p>
        </w:tc>
        <w:tc>
          <w:tcPr>
            <w:tcW w:w="890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530.61**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0.80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0.83</w:t>
            </w:r>
          </w:p>
        </w:tc>
        <w:tc>
          <w:tcPr>
            <w:tcW w:w="955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0.13</w:t>
            </w:r>
          </w:p>
        </w:tc>
        <w:tc>
          <w:tcPr>
            <w:tcW w:w="1327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[0.12-0.14]</w:t>
            </w:r>
          </w:p>
        </w:tc>
        <w:tc>
          <w:tcPr>
            <w:tcW w:w="738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0.07</w:t>
            </w:r>
          </w:p>
        </w:tc>
        <w:tc>
          <w:tcPr>
            <w:tcW w:w="886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A7982" w:rsidRDefault="00FA7982" w:rsidP="00B3211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284.73**</w:t>
            </w:r>
          </w:p>
        </w:tc>
      </w:tr>
    </w:tbl>
    <w:p w:rsidR="00FA7982" w:rsidRDefault="00FA7982" w:rsidP="00FA798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Note. CI=Confidence interval 90%. </w:t>
      </w:r>
    </w:p>
    <w:p w:rsidR="00FA7982" w:rsidRPr="00221DDE" w:rsidRDefault="00FA7982" w:rsidP="00FA7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vertAlign w:val="superscript"/>
        </w:rPr>
      </w:pPr>
      <w:r w:rsidRPr="00221DDE">
        <w:rPr>
          <w:rFonts w:ascii="Times New Roman" w:hAnsi="Times New Roman"/>
          <w:sz w:val="20"/>
          <w:szCs w:val="24"/>
          <w:vertAlign w:val="superscript"/>
        </w:rPr>
        <w:t>a</w:t>
      </w:r>
      <w:r w:rsidRPr="00221DDE">
        <w:rPr>
          <w:rFonts w:ascii="Times New Roman" w:hAnsi="Times New Roman"/>
          <w:sz w:val="20"/>
          <w:szCs w:val="24"/>
        </w:rPr>
        <w:t xml:space="preserve"> Career expectations and expectations of organizational future as unique factor (because these constructs are oriented to the future) and the remainder constructs as individual factors.</w:t>
      </w:r>
    </w:p>
    <w:p w:rsidR="00FA7982" w:rsidRPr="00221DDE" w:rsidRDefault="00FA7982" w:rsidP="00FA7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221DDE">
        <w:rPr>
          <w:rFonts w:ascii="Times New Roman" w:hAnsi="Times New Roman"/>
          <w:sz w:val="20"/>
          <w:szCs w:val="24"/>
          <w:vertAlign w:val="superscript"/>
        </w:rPr>
        <w:t>b</w:t>
      </w:r>
      <w:r w:rsidRPr="00221DDE">
        <w:rPr>
          <w:rFonts w:ascii="Times New Roman" w:hAnsi="Times New Roman"/>
          <w:sz w:val="20"/>
          <w:szCs w:val="24"/>
        </w:rPr>
        <w:t xml:space="preserve"> Career expectations and expectations of organizational future as unique factor and remainder constructs in the other factor.</w:t>
      </w:r>
    </w:p>
    <w:p w:rsidR="00FA7982" w:rsidRPr="00221DDE" w:rsidRDefault="00FA7982" w:rsidP="00FA7982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221DDE">
        <w:rPr>
          <w:rFonts w:ascii="Times New Roman" w:hAnsi="Times New Roman"/>
          <w:sz w:val="20"/>
          <w:szCs w:val="24"/>
          <w:vertAlign w:val="superscript"/>
        </w:rPr>
        <w:t>c</w:t>
      </w:r>
      <w:r w:rsidRPr="00221DDE">
        <w:rPr>
          <w:rFonts w:ascii="Times New Roman" w:hAnsi="Times New Roman"/>
          <w:sz w:val="20"/>
          <w:szCs w:val="24"/>
        </w:rPr>
        <w:t xml:space="preserve"> Expectations of organizational future and positive perceptions of HR policies/practices as unique factor (because these are constructs oriented to the organization) and remainder constructs in the other factor.</w:t>
      </w:r>
    </w:p>
    <w:p w:rsidR="00FA7982" w:rsidRPr="00221DDE" w:rsidRDefault="00FA7982" w:rsidP="00FA7982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221DDE">
        <w:rPr>
          <w:rFonts w:ascii="Times New Roman" w:hAnsi="Times New Roman"/>
          <w:sz w:val="20"/>
          <w:szCs w:val="24"/>
        </w:rPr>
        <w:t>**</w:t>
      </w:r>
      <w:r w:rsidRPr="00221DDE">
        <w:rPr>
          <w:rFonts w:ascii="Times New Roman" w:hAnsi="Times New Roman"/>
          <w:i/>
          <w:sz w:val="20"/>
          <w:szCs w:val="24"/>
        </w:rPr>
        <w:t>p</w:t>
      </w:r>
      <w:r w:rsidRPr="00221DDE">
        <w:rPr>
          <w:rFonts w:ascii="Times New Roman" w:hAnsi="Times New Roman"/>
          <w:sz w:val="20"/>
          <w:szCs w:val="24"/>
        </w:rPr>
        <w:t>&lt;0.01.</w:t>
      </w:r>
    </w:p>
    <w:p w:rsidR="00FA7982" w:rsidRPr="00221DDE" w:rsidRDefault="00FA7982" w:rsidP="00FA7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21DDE">
        <w:rPr>
          <w:rFonts w:ascii="Times New Roman" w:hAnsi="Times New Roman"/>
          <w:sz w:val="20"/>
          <w:szCs w:val="24"/>
        </w:rPr>
        <w:t>Source: Elaborated by the authors.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B" w:rsidRDefault="00F5779B" w:rsidP="00F5779B">
      <w:pPr>
        <w:spacing w:after="0" w:line="240" w:lineRule="auto"/>
      </w:pPr>
      <w:r>
        <w:separator/>
      </w:r>
    </w:p>
  </w:endnote>
  <w:endnote w:type="continuationSeparator" w:id="0">
    <w:p w:rsidR="00F5779B" w:rsidRDefault="00F5779B" w:rsidP="00F5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B" w:rsidRDefault="00F5779B" w:rsidP="00F5779B">
      <w:pPr>
        <w:spacing w:after="0" w:line="240" w:lineRule="auto"/>
      </w:pPr>
      <w:r>
        <w:separator/>
      </w:r>
    </w:p>
  </w:footnote>
  <w:footnote w:type="continuationSeparator" w:id="0">
    <w:p w:rsidR="00F5779B" w:rsidRDefault="00F5779B" w:rsidP="00F5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9B" w:rsidRDefault="00F57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82"/>
    <w:rsid w:val="00023D1E"/>
    <w:rsid w:val="00F5779B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2"/>
    <w:pPr>
      <w:spacing w:after="200" w:line="276" w:lineRule="auto"/>
    </w:pPr>
    <w:rPr>
      <w:rFonts w:ascii="Cambria" w:eastAsia="Times New Roman" w:hAnsi="Cambria" w:cs="Times New Roman"/>
      <w:snapToGrid w:val="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79B"/>
    <w:rPr>
      <w:rFonts w:ascii="Cambria" w:eastAsia="Times New Roman" w:hAnsi="Cambria" w:cs="Times New Roman"/>
      <w:snapToGrid w:val="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F5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79B"/>
    <w:rPr>
      <w:rFonts w:ascii="Cambria" w:eastAsia="Times New Roman" w:hAnsi="Cambria" w:cs="Times New Roman"/>
      <w:snapToGrid w:val="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2016-07-18T16:39:00Z</dcterms:created>
  <dcterms:modified xsi:type="dcterms:W3CDTF">2016-07-18T16:39:00Z</dcterms:modified>
</cp:coreProperties>
</file>