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AE" w:rsidRPr="00FE77CB" w:rsidRDefault="008139AE" w:rsidP="008139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77CB">
        <w:rPr>
          <w:rFonts w:ascii="Times New Roman" w:hAnsi="Times New Roman" w:cs="Times New Roman"/>
          <w:sz w:val="24"/>
          <w:szCs w:val="24"/>
        </w:rPr>
        <w:t>Quadro 1 - Fontes de Vantagem Competitiva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"/>
        <w:gridCol w:w="1362"/>
        <w:gridCol w:w="3941"/>
        <w:gridCol w:w="2544"/>
      </w:tblGrid>
      <w:tr w:rsidR="008139AE" w:rsidRPr="00E43382" w:rsidTr="00401817">
        <w:trPr>
          <w:jc w:val="center"/>
        </w:trPr>
        <w:tc>
          <w:tcPr>
            <w:tcW w:w="873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b/>
                <w:sz w:val="20"/>
                <w:szCs w:val="24"/>
              </w:rPr>
              <w:t>Origem da VC</w:t>
            </w:r>
          </w:p>
        </w:tc>
        <w:tc>
          <w:tcPr>
            <w:tcW w:w="1362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b/>
                <w:sz w:val="20"/>
                <w:szCs w:val="24"/>
              </w:rPr>
              <w:t>Estratégia Competitiva baseada em</w:t>
            </w: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b/>
                <w:sz w:val="20"/>
                <w:szCs w:val="24"/>
              </w:rPr>
              <w:t>Natureza da VC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b/>
                <w:sz w:val="20"/>
                <w:szCs w:val="24"/>
              </w:rPr>
              <w:t>Autor</w:t>
            </w:r>
          </w:p>
        </w:tc>
      </w:tr>
      <w:tr w:rsidR="008139AE" w:rsidRPr="00E43382" w:rsidTr="00401817">
        <w:trPr>
          <w:jc w:val="center"/>
        </w:trPr>
        <w:tc>
          <w:tcPr>
            <w:tcW w:w="873" w:type="dxa"/>
            <w:vMerge w:val="restart"/>
            <w:vAlign w:val="center"/>
          </w:tcPr>
          <w:p w:rsidR="008139AE" w:rsidRPr="00F526AF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526AF">
              <w:rPr>
                <w:rFonts w:ascii="Times New Roman" w:hAnsi="Times New Roman" w:cs="Times New Roman"/>
                <w:sz w:val="20"/>
                <w:szCs w:val="24"/>
              </w:rPr>
              <w:t>Interna</w:t>
            </w:r>
          </w:p>
        </w:tc>
        <w:tc>
          <w:tcPr>
            <w:tcW w:w="1362" w:type="dxa"/>
            <w:vAlign w:val="center"/>
          </w:tcPr>
          <w:p w:rsidR="008139AE" w:rsidRPr="00483066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36D0">
              <w:rPr>
                <w:rFonts w:ascii="Times New Roman" w:hAnsi="Times New Roman" w:cs="Times New Roman"/>
                <w:sz w:val="20"/>
                <w:szCs w:val="24"/>
              </w:rPr>
              <w:t>Liderança de Custo</w:t>
            </w: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55146">
              <w:rPr>
                <w:rFonts w:ascii="Times New Roman" w:hAnsi="Times New Roman" w:cs="Times New Roman"/>
                <w:sz w:val="20"/>
                <w:szCs w:val="24"/>
              </w:rPr>
              <w:t>Processo interno que permite a liderança de custos</w:t>
            </w: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por meio da: busca de economia de escala, do acesso preferencial a insumos, tecnologia patenteada entre outros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Porter (1985, 1990)</w:t>
            </w:r>
          </w:p>
        </w:tc>
      </w:tr>
      <w:tr w:rsidR="008139AE" w:rsidRPr="00894977" w:rsidTr="00401817">
        <w:trPr>
          <w:trHeight w:val="2300"/>
          <w:jc w:val="center"/>
        </w:trPr>
        <w:tc>
          <w:tcPr>
            <w:tcW w:w="873" w:type="dxa"/>
            <w:vMerge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Competências distintivas</w:t>
            </w: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Emerge a partir do desenvolvimento e gestão do portfólio de recursos físicos, financeiros, intangíveis, organizacionais e humanos. Tal processo resulta no desenvolvimento de competências e recursos internos que podem assegurar uma posição competitiva sustentável, pois seus competidores não conseguem imitar tais recursos. Diferenciação baseada em funcionários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Achrol e Kotler (2012); Barney (1991); Barney e Hesterly (2008); Hamel e Prahalad (1990); Kotler e Keller (2006); Teece, Pisano, e Shuen (1997)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</w:tc>
      </w:tr>
      <w:tr w:rsidR="008139AE" w:rsidRPr="00E43382" w:rsidTr="00401817">
        <w:trPr>
          <w:jc w:val="center"/>
        </w:trPr>
        <w:tc>
          <w:tcPr>
            <w:tcW w:w="873" w:type="dxa"/>
            <w:vMerge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Processos internos</w:t>
            </w: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Diferenciação baseada no canal de distribuição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Kotler e Keller (2006)</w:t>
            </w:r>
          </w:p>
        </w:tc>
      </w:tr>
      <w:tr w:rsidR="008139AE" w:rsidRPr="00E43382" w:rsidTr="00401817">
        <w:trPr>
          <w:trHeight w:val="50"/>
          <w:jc w:val="center"/>
        </w:trPr>
        <w:tc>
          <w:tcPr>
            <w:tcW w:w="873" w:type="dxa"/>
            <w:vMerge w:val="restart"/>
            <w:vAlign w:val="center"/>
          </w:tcPr>
          <w:p w:rsidR="008139AE" w:rsidRPr="00F526AF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526AF">
              <w:rPr>
                <w:rFonts w:ascii="Times New Roman" w:hAnsi="Times New Roman" w:cs="Times New Roman"/>
                <w:sz w:val="20"/>
                <w:szCs w:val="24"/>
              </w:rPr>
              <w:t>Externa</w:t>
            </w:r>
          </w:p>
        </w:tc>
        <w:tc>
          <w:tcPr>
            <w:tcW w:w="1362" w:type="dxa"/>
            <w:vMerge w:val="restart"/>
            <w:vAlign w:val="center"/>
          </w:tcPr>
          <w:p w:rsidR="008139AE" w:rsidRPr="00483066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36D0">
              <w:rPr>
                <w:rFonts w:ascii="Times New Roman" w:hAnsi="Times New Roman" w:cs="Times New Roman"/>
                <w:sz w:val="20"/>
                <w:szCs w:val="24"/>
              </w:rPr>
              <w:t>Processos Externos</w:t>
            </w: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55146">
              <w:rPr>
                <w:rFonts w:ascii="Times New Roman" w:hAnsi="Times New Roman" w:cs="Times New Roman"/>
                <w:sz w:val="20"/>
                <w:szCs w:val="24"/>
              </w:rPr>
              <w:t xml:space="preserve">Por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qualidade do p</w:t>
            </w:r>
            <w:r w:rsidRPr="00D55146">
              <w:rPr>
                <w:rFonts w:ascii="Times New Roman" w:hAnsi="Times New Roman" w:cs="Times New Roman"/>
                <w:sz w:val="20"/>
                <w:szCs w:val="24"/>
              </w:rPr>
              <w:t xml:space="preserve">roduto 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Mintzberg</w:t>
            </w:r>
            <w:proofErr w:type="spellEnd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(2006);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Kotler e Keller (2006); Porter (1990)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8139AE" w:rsidRPr="00565B46" w:rsidTr="00401817">
        <w:trPr>
          <w:trHeight w:val="50"/>
          <w:jc w:val="center"/>
        </w:trPr>
        <w:tc>
          <w:tcPr>
            <w:tcW w:w="873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Por imagem</w:t>
            </w:r>
          </w:p>
        </w:tc>
        <w:tc>
          <w:tcPr>
            <w:tcW w:w="2544" w:type="dxa"/>
            <w:vAlign w:val="center"/>
          </w:tcPr>
          <w:p w:rsidR="008139AE" w:rsidRPr="00DC4C9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Brïdson</w:t>
            </w:r>
            <w:proofErr w:type="spellEnd"/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e Evans (2004); </w:t>
            </w:r>
            <w:r w:rsidRPr="00DC4C93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Kotler e Keller (200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6</w:t>
            </w:r>
            <w:r w:rsidRPr="00DC4C93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 xml:space="preserve">); </w:t>
            </w:r>
            <w:proofErr w:type="spellStart"/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Mintzberg</w:t>
            </w:r>
            <w:proofErr w:type="spellEnd"/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(2006);</w:t>
            </w:r>
            <w:r w:rsidRPr="00DC4C93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 xml:space="preserve"> Porter (1990);</w:t>
            </w:r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Zatta</w:t>
            </w:r>
            <w:proofErr w:type="spellEnd"/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DC4C93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et al.</w:t>
            </w:r>
            <w:r w:rsidRPr="00DC4C9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(2011).</w:t>
            </w:r>
          </w:p>
        </w:tc>
      </w:tr>
      <w:tr w:rsidR="008139AE" w:rsidRPr="003129A4" w:rsidTr="00401817">
        <w:trPr>
          <w:trHeight w:val="50"/>
          <w:jc w:val="center"/>
        </w:trPr>
        <w:tc>
          <w:tcPr>
            <w:tcW w:w="873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62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Por suporte ou serviços</w:t>
            </w:r>
          </w:p>
        </w:tc>
        <w:tc>
          <w:tcPr>
            <w:tcW w:w="2544" w:type="dxa"/>
            <w:vAlign w:val="center"/>
          </w:tcPr>
          <w:p w:rsidR="008139AE" w:rsidRPr="003129A4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129A4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 xml:space="preserve">Kotler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e</w:t>
            </w:r>
            <w:r w:rsidRPr="003129A4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 xml:space="preserve"> Keller (200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6</w:t>
            </w:r>
            <w:r w:rsidRPr="003129A4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);</w:t>
            </w:r>
            <w:r w:rsidRPr="00EB65E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Mintzberg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(2006);</w:t>
            </w:r>
            <w:r w:rsidRPr="003129A4"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 xml:space="preserve"> Porter (1990)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>.</w:t>
            </w:r>
          </w:p>
        </w:tc>
      </w:tr>
      <w:tr w:rsidR="008139AE" w:rsidRPr="00E43382" w:rsidTr="00401817">
        <w:trPr>
          <w:trHeight w:val="50"/>
          <w:jc w:val="center"/>
        </w:trPr>
        <w:tc>
          <w:tcPr>
            <w:tcW w:w="873" w:type="dxa"/>
            <w:vMerge/>
          </w:tcPr>
          <w:p w:rsidR="008139AE" w:rsidRPr="003129A4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362" w:type="dxa"/>
            <w:vMerge/>
            <w:vAlign w:val="center"/>
          </w:tcPr>
          <w:p w:rsidR="008139AE" w:rsidRPr="003129A4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941" w:type="dxa"/>
            <w:vAlign w:val="center"/>
          </w:tcPr>
          <w:p w:rsidR="008139AE" w:rsidRPr="005736D0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Por </w:t>
            </w:r>
            <w:r w:rsidRPr="00CE0ACC">
              <w:rPr>
                <w:rFonts w:ascii="Times New Roman" w:hAnsi="Times New Roman" w:cs="Times New Roman"/>
                <w:i/>
                <w:sz w:val="20"/>
                <w:szCs w:val="24"/>
              </w:rPr>
              <w:t>design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Kikuchi e</w:t>
            </w:r>
            <w:r w:rsidRPr="005C1623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Silva,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(</w:t>
            </w:r>
            <w:r w:rsidRPr="005C1623">
              <w:rPr>
                <w:rFonts w:ascii="Times New Roman" w:hAnsi="Times New Roman" w:cs="Times New Roman"/>
                <w:noProof/>
                <w:sz w:val="20"/>
                <w:szCs w:val="24"/>
              </w:rPr>
              <w:t>2011)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; Kotler e Keller (2006);</w:t>
            </w:r>
            <w:r w:rsidRPr="00696C9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6C9D">
              <w:rPr>
                <w:rFonts w:ascii="Times New Roman" w:hAnsi="Times New Roman" w:cs="Times New Roman"/>
                <w:sz w:val="20"/>
                <w:szCs w:val="24"/>
              </w:rPr>
              <w:t>Mintzberg</w:t>
            </w:r>
            <w:proofErr w:type="spellEnd"/>
            <w:r w:rsidRPr="00696C9D">
              <w:rPr>
                <w:rFonts w:ascii="Times New Roman" w:hAnsi="Times New Roman" w:cs="Times New Roman"/>
                <w:sz w:val="20"/>
                <w:szCs w:val="24"/>
              </w:rPr>
              <w:t xml:space="preserve"> (2006);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Porter (1990).</w:t>
            </w:r>
          </w:p>
        </w:tc>
      </w:tr>
      <w:tr w:rsidR="008139AE" w:rsidRPr="00E43382" w:rsidTr="00401817">
        <w:trPr>
          <w:trHeight w:val="50"/>
          <w:jc w:val="center"/>
        </w:trPr>
        <w:tc>
          <w:tcPr>
            <w:tcW w:w="873" w:type="dxa"/>
            <w:vMerge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Por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ustentabilidade</w:t>
            </w:r>
          </w:p>
        </w:tc>
        <w:tc>
          <w:tcPr>
            <w:tcW w:w="2544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Elkin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</w:t>
            </w: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ton</w:t>
            </w:r>
            <w:proofErr w:type="spellEnd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(1994);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Emerenciano</w:t>
            </w:r>
            <w:proofErr w:type="spellEnd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e Pires (2006)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; </w:t>
            </w:r>
            <w:proofErr w:type="spellStart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Kikuchi</w:t>
            </w:r>
            <w:proofErr w:type="spellEnd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e Silva (2011);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King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Lenox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, (2001);</w:t>
            </w: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Orsato (2006); </w:t>
            </w: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Rocha </w:t>
            </w:r>
            <w:r w:rsidRPr="00EB65E3">
              <w:rPr>
                <w:rFonts w:ascii="Times New Roman" w:hAnsi="Times New Roman" w:cs="Times New Roman"/>
                <w:i/>
                <w:sz w:val="20"/>
                <w:szCs w:val="24"/>
              </w:rPr>
              <w:t>et al.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(2005).</w:t>
            </w:r>
          </w:p>
        </w:tc>
      </w:tr>
      <w:tr w:rsidR="008139AE" w:rsidRPr="00E43382" w:rsidTr="00401817">
        <w:trPr>
          <w:trHeight w:val="50"/>
          <w:jc w:val="center"/>
        </w:trPr>
        <w:tc>
          <w:tcPr>
            <w:tcW w:w="873" w:type="dxa"/>
            <w:vMerge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Por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novação</w:t>
            </w:r>
          </w:p>
        </w:tc>
        <w:tc>
          <w:tcPr>
            <w:tcW w:w="2544" w:type="dxa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4"/>
              </w:rPr>
            </w:pPr>
            <w:proofErr w:type="spellStart"/>
            <w:r w:rsidRPr="00B636D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Danskin</w:t>
            </w:r>
            <w:proofErr w:type="spellEnd"/>
            <w:r w:rsidRPr="00B636D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B636DC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et al.</w:t>
            </w:r>
            <w:r w:rsidRPr="00B636D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(2005);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en-US"/>
              </w:rPr>
              <w:t xml:space="preserve">Rybalowski (2008); </w:t>
            </w:r>
            <w:proofErr w:type="spellStart"/>
            <w:r w:rsidRPr="00B636D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Zatta</w:t>
            </w:r>
            <w:proofErr w:type="spellEnd"/>
            <w:r w:rsidRPr="00B636D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B636DC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et al.</w:t>
            </w:r>
            <w:r w:rsidRPr="00B636D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(2011).</w:t>
            </w:r>
          </w:p>
        </w:tc>
      </w:tr>
      <w:tr w:rsidR="008139AE" w:rsidRPr="002A2508" w:rsidTr="00401817">
        <w:trPr>
          <w:jc w:val="center"/>
        </w:trPr>
        <w:tc>
          <w:tcPr>
            <w:tcW w:w="873" w:type="dxa"/>
            <w:vMerge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8139AE" w:rsidRPr="00EB65E3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Pela imagem do país de origem</w:t>
            </w:r>
          </w:p>
        </w:tc>
        <w:tc>
          <w:tcPr>
            <w:tcW w:w="2544" w:type="dxa"/>
            <w:vAlign w:val="center"/>
          </w:tcPr>
          <w:p w:rsidR="008139AE" w:rsidRPr="00A44C75" w:rsidRDefault="008139A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Finestrali</w:t>
            </w:r>
            <w:proofErr w:type="spellEnd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e Garrido (2010); Giraldi e </w:t>
            </w:r>
            <w:proofErr w:type="spellStart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>Tornavoi</w:t>
            </w:r>
            <w:proofErr w:type="spellEnd"/>
            <w:r w:rsidRPr="00EB65E3">
              <w:rPr>
                <w:rFonts w:ascii="Times New Roman" w:hAnsi="Times New Roman" w:cs="Times New Roman"/>
                <w:sz w:val="20"/>
                <w:szCs w:val="24"/>
              </w:rPr>
              <w:t xml:space="preserve"> (2005)</w:t>
            </w:r>
          </w:p>
        </w:tc>
      </w:tr>
    </w:tbl>
    <w:p w:rsidR="008139AE" w:rsidRPr="002A011A" w:rsidRDefault="008139AE" w:rsidP="008139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11A">
        <w:rPr>
          <w:rFonts w:ascii="Times New Roman" w:hAnsi="Times New Roman" w:cs="Times New Roman"/>
          <w:sz w:val="24"/>
          <w:szCs w:val="24"/>
        </w:rPr>
        <w:t>Fonte:</w:t>
      </w:r>
      <w:r w:rsidRPr="002A011A">
        <w:rPr>
          <w:rFonts w:ascii="Times New Roman" w:hAnsi="Times New Roman" w:cs="Times New Roman"/>
          <w:bCs/>
          <w:sz w:val="24"/>
          <w:szCs w:val="24"/>
        </w:rPr>
        <w:t xml:space="preserve"> elaborado pelos autores</w:t>
      </w:r>
    </w:p>
    <w:p w:rsidR="00C80791" w:rsidRDefault="003B34D0"/>
    <w:sectPr w:rsidR="00C8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AE"/>
    <w:rsid w:val="00394672"/>
    <w:rsid w:val="003B34D0"/>
    <w:rsid w:val="008139AE"/>
    <w:rsid w:val="0098456F"/>
    <w:rsid w:val="00A67458"/>
    <w:rsid w:val="00AE6BBE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39AC-03B7-4F26-B23F-4CBD14B3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Mac Lennan</dc:creator>
  <cp:lastModifiedBy>Mariana Sutter</cp:lastModifiedBy>
  <cp:revision>2</cp:revision>
  <dcterms:created xsi:type="dcterms:W3CDTF">2015-11-02T18:40:00Z</dcterms:created>
  <dcterms:modified xsi:type="dcterms:W3CDTF">2015-11-02T18:40:00Z</dcterms:modified>
</cp:coreProperties>
</file>