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1E" w:rsidRDefault="008D083D">
      <w:pPr>
        <w:rPr>
          <w:b/>
          <w:sz w:val="24"/>
        </w:rPr>
      </w:pPr>
      <w:r w:rsidRPr="003477BD">
        <w:rPr>
          <w:b/>
          <w:sz w:val="24"/>
        </w:rPr>
        <w:t>Quadro 3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4271"/>
        <w:gridCol w:w="2729"/>
      </w:tblGrid>
      <w:tr w:rsidR="008D083D" w:rsidRPr="003477BD" w:rsidTr="008D083D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Enfoque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Comprometimento dos Cooperados com Bens Materiais e Patrimoniais</w:t>
            </w:r>
          </w:p>
        </w:tc>
      </w:tr>
      <w:tr w:rsidR="008D083D" w:rsidRPr="003477BD" w:rsidTr="008D083D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Normativo</w:t>
            </w:r>
          </w:p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i/>
                <w:sz w:val="20"/>
                <w:szCs w:val="24"/>
              </w:rPr>
              <w:t>Os cooperados se envolvem com os bens materiais e patrimoniais da cooperativa devido à permanência, normas, a ética e a moral.</w:t>
            </w:r>
          </w:p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Contexto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Categorias de Análise</w:t>
            </w:r>
          </w:p>
        </w:tc>
      </w:tr>
      <w:tr w:rsidR="008D083D" w:rsidRPr="003477BD" w:rsidTr="008D083D"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 xml:space="preserve">Os cooperados consideram três fatores: </w:t>
            </w: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uma escala afetiva, alternativas escassas de emprego e o esforço em se desligar</w:t>
            </w:r>
            <w:r w:rsidRPr="003477BD">
              <w:rPr>
                <w:rFonts w:ascii="Times New Roman" w:hAnsi="Times New Roman"/>
                <w:sz w:val="20"/>
                <w:szCs w:val="24"/>
              </w:rPr>
              <w:t xml:space="preserve"> (</w:t>
            </w:r>
            <w:proofErr w:type="spellStart"/>
            <w:r w:rsidRPr="003477BD">
              <w:rPr>
                <w:rFonts w:ascii="Times New Roman" w:hAnsi="Times New Roman"/>
                <w:sz w:val="20"/>
                <w:szCs w:val="24"/>
              </w:rPr>
              <w:t>Mcgee</w:t>
            </w:r>
            <w:proofErr w:type="spellEnd"/>
            <w:r w:rsidRPr="003477BD">
              <w:rPr>
                <w:rFonts w:ascii="Times New Roman" w:hAnsi="Times New Roman"/>
                <w:sz w:val="20"/>
                <w:szCs w:val="24"/>
              </w:rPr>
              <w:t xml:space="preserve"> &amp; Ford, 1987), mediante a estes, os cooperados se mantêm na cooperativa.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- Permanência na cooperativa por uma questão de conveniência – envolvimento com os bens materiais e patrimoniais para continuidade das atividades;</w:t>
            </w:r>
          </w:p>
        </w:tc>
      </w:tr>
      <w:tr w:rsidR="008D083D" w:rsidRPr="003477BD" w:rsidTr="008D083D"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As internacionalizações normativas</w:t>
            </w:r>
            <w:r w:rsidRPr="003477BD">
              <w:rPr>
                <w:rFonts w:ascii="Times New Roman" w:hAnsi="Times New Roman"/>
                <w:sz w:val="20"/>
                <w:szCs w:val="24"/>
              </w:rPr>
              <w:t xml:space="preserve"> (</w:t>
            </w:r>
            <w:proofErr w:type="spellStart"/>
            <w:r w:rsidRPr="003477BD">
              <w:rPr>
                <w:rFonts w:ascii="Times New Roman" w:hAnsi="Times New Roman"/>
                <w:sz w:val="20"/>
                <w:szCs w:val="24"/>
              </w:rPr>
              <w:t>Wiener</w:t>
            </w:r>
            <w:proofErr w:type="spellEnd"/>
            <w:r w:rsidRPr="003477BD">
              <w:rPr>
                <w:rFonts w:ascii="Times New Roman" w:hAnsi="Times New Roman"/>
                <w:sz w:val="20"/>
                <w:szCs w:val="24"/>
              </w:rPr>
              <w:t>, 1982) apresentadas no Estatuto Social e no Regimento Interno da cooperativa, fazem com que os cooperados se comprometam com os bens materiais e patrimoniais.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- Atendimento das normas sobre a gestão dos bens materiais e patrimoniais;</w:t>
            </w:r>
          </w:p>
        </w:tc>
      </w:tr>
      <w:tr w:rsidR="008D083D" w:rsidRPr="003477BD" w:rsidTr="008D083D"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 xml:space="preserve">Os </w:t>
            </w: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conceitos éticos e morais</w:t>
            </w:r>
            <w:r w:rsidRPr="003477BD">
              <w:rPr>
                <w:rFonts w:ascii="Times New Roman" w:hAnsi="Times New Roman"/>
                <w:sz w:val="20"/>
                <w:szCs w:val="24"/>
              </w:rPr>
              <w:t xml:space="preserve"> (</w:t>
            </w:r>
            <w:proofErr w:type="spellStart"/>
            <w:r w:rsidRPr="003477BD">
              <w:rPr>
                <w:rFonts w:ascii="Times New Roman" w:hAnsi="Times New Roman"/>
                <w:sz w:val="20"/>
                <w:szCs w:val="24"/>
              </w:rPr>
              <w:t>Wiener</w:t>
            </w:r>
            <w:proofErr w:type="spellEnd"/>
            <w:r w:rsidRPr="003477BD">
              <w:rPr>
                <w:rFonts w:ascii="Times New Roman" w:hAnsi="Times New Roman"/>
                <w:sz w:val="20"/>
                <w:szCs w:val="24"/>
              </w:rPr>
              <w:t xml:space="preserve">, 1982) norteiam suas principais ações quanto os bens materiais e patrimoniais.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D" w:rsidRPr="003477BD" w:rsidRDefault="008D083D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- Conceitos éticos e morais relacionados aos bens materiais e patrimoniais.</w:t>
            </w:r>
          </w:p>
        </w:tc>
      </w:tr>
    </w:tbl>
    <w:p w:rsidR="008D083D" w:rsidRDefault="008D083D"/>
    <w:sectPr w:rsidR="008D08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3D"/>
    <w:rsid w:val="00023D1E"/>
    <w:rsid w:val="008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ECBD4-0212-47D6-8E75-35D4255F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083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Edwige Betencourt</dc:creator>
  <cp:keywords/>
  <dc:description/>
  <cp:lastModifiedBy>Patricia Edwige Betencourt</cp:lastModifiedBy>
  <cp:revision>1</cp:revision>
  <dcterms:created xsi:type="dcterms:W3CDTF">2015-06-16T17:18:00Z</dcterms:created>
  <dcterms:modified xsi:type="dcterms:W3CDTF">2015-06-16T17:19:00Z</dcterms:modified>
</cp:coreProperties>
</file>