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3D1E" w:rsidRDefault="00584C2E">
      <w:pPr>
        <w:rPr>
          <w:b/>
          <w:sz w:val="24"/>
        </w:rPr>
      </w:pPr>
      <w:r w:rsidRPr="003477BD">
        <w:rPr>
          <w:b/>
          <w:sz w:val="24"/>
        </w:rPr>
        <w:t>Quadro 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77"/>
        <w:gridCol w:w="4961"/>
        <w:gridCol w:w="2156"/>
      </w:tblGrid>
      <w:tr w:rsidR="00584C2E" w:rsidRPr="003477BD" w:rsidTr="00FF773B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C2E" w:rsidRPr="003477BD" w:rsidRDefault="00584C2E" w:rsidP="00FF773B">
            <w:pPr>
              <w:pStyle w:val="PargrafodaLista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3477BD">
              <w:rPr>
                <w:rFonts w:ascii="Times New Roman" w:hAnsi="Times New Roman"/>
                <w:b/>
                <w:sz w:val="20"/>
                <w:szCs w:val="24"/>
              </w:rPr>
              <w:t>Enfoque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C2E" w:rsidRPr="003477BD" w:rsidRDefault="00584C2E" w:rsidP="00FF773B">
            <w:pPr>
              <w:pStyle w:val="PargrafodaLista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3477BD">
              <w:rPr>
                <w:rFonts w:ascii="Times New Roman" w:hAnsi="Times New Roman"/>
                <w:b/>
                <w:sz w:val="20"/>
                <w:szCs w:val="24"/>
              </w:rPr>
              <w:t>Comprometimento dos Cooperados com Bens Materiais e Patrimoniais</w:t>
            </w:r>
          </w:p>
        </w:tc>
      </w:tr>
      <w:tr w:rsidR="00584C2E" w:rsidRPr="003477BD" w:rsidTr="00FF773B"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C2E" w:rsidRPr="003477BD" w:rsidRDefault="00584C2E" w:rsidP="00FF773B">
            <w:pPr>
              <w:pStyle w:val="PargrafodaLista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sz w:val="20"/>
                <w:szCs w:val="24"/>
              </w:rPr>
            </w:pPr>
            <w:r w:rsidRPr="003477BD">
              <w:rPr>
                <w:rFonts w:ascii="Times New Roman" w:hAnsi="Times New Roman"/>
                <w:b/>
                <w:sz w:val="20"/>
                <w:szCs w:val="24"/>
              </w:rPr>
              <w:t>Instrumental</w:t>
            </w:r>
          </w:p>
          <w:p w:rsidR="00584C2E" w:rsidRPr="003477BD" w:rsidRDefault="00584C2E" w:rsidP="00FF773B">
            <w:pPr>
              <w:pStyle w:val="PargrafodaLista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sz w:val="20"/>
                <w:szCs w:val="24"/>
              </w:rPr>
            </w:pPr>
          </w:p>
          <w:p w:rsidR="00584C2E" w:rsidRPr="003477BD" w:rsidRDefault="00584C2E" w:rsidP="00FF773B">
            <w:pPr>
              <w:pStyle w:val="PargrafodaLista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sz w:val="20"/>
                <w:szCs w:val="24"/>
              </w:rPr>
            </w:pPr>
            <w:r w:rsidRPr="003477BD">
              <w:rPr>
                <w:rFonts w:ascii="Times New Roman" w:hAnsi="Times New Roman"/>
                <w:i/>
                <w:sz w:val="20"/>
                <w:szCs w:val="24"/>
              </w:rPr>
              <w:t xml:space="preserve">Os cooperados se envolvem com os bens materiais e patrimoniais devido a questões sociológicas e por uma visão de troca. </w:t>
            </w:r>
          </w:p>
          <w:p w:rsidR="00584C2E" w:rsidRPr="003477BD" w:rsidRDefault="00584C2E" w:rsidP="00FF773B">
            <w:pPr>
              <w:pStyle w:val="PargrafodaLista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C2E" w:rsidRPr="003477BD" w:rsidRDefault="00584C2E" w:rsidP="00FF773B">
            <w:pPr>
              <w:pStyle w:val="PargrafodaLista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3477BD">
              <w:rPr>
                <w:rFonts w:ascii="Times New Roman" w:hAnsi="Times New Roman"/>
                <w:b/>
                <w:sz w:val="20"/>
                <w:szCs w:val="24"/>
              </w:rPr>
              <w:t>Contexto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C2E" w:rsidRPr="003477BD" w:rsidRDefault="00584C2E" w:rsidP="00FF773B">
            <w:pPr>
              <w:pStyle w:val="PargrafodaLista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3477BD">
              <w:rPr>
                <w:rFonts w:ascii="Times New Roman" w:hAnsi="Times New Roman"/>
                <w:b/>
                <w:sz w:val="20"/>
                <w:szCs w:val="24"/>
              </w:rPr>
              <w:t>Categorias de Análise</w:t>
            </w:r>
          </w:p>
        </w:tc>
      </w:tr>
      <w:tr w:rsidR="00584C2E" w:rsidRPr="003477BD" w:rsidTr="00FF773B"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C2E" w:rsidRPr="003477BD" w:rsidRDefault="00584C2E" w:rsidP="00FF773B">
            <w:pPr>
              <w:pStyle w:val="PargrafodaLista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C2E" w:rsidRPr="003477BD" w:rsidRDefault="00584C2E" w:rsidP="00FF773B">
            <w:pPr>
              <w:pStyle w:val="PargrafodaLista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  <w:r w:rsidRPr="003477BD">
              <w:rPr>
                <w:rFonts w:ascii="Times New Roman" w:hAnsi="Times New Roman"/>
                <w:sz w:val="20"/>
                <w:szCs w:val="24"/>
              </w:rPr>
              <w:t xml:space="preserve">Os cooperados se </w:t>
            </w:r>
            <w:r w:rsidRPr="003477BD">
              <w:rPr>
                <w:rFonts w:ascii="Times New Roman" w:hAnsi="Times New Roman"/>
                <w:b/>
                <w:sz w:val="20"/>
                <w:szCs w:val="24"/>
              </w:rPr>
              <w:t>comprometem com os bens materiais e patrimoniais devido a trocas laterais</w:t>
            </w:r>
            <w:r w:rsidRPr="003477BD">
              <w:rPr>
                <w:rFonts w:ascii="Times New Roman" w:hAnsi="Times New Roman"/>
                <w:sz w:val="20"/>
                <w:szCs w:val="24"/>
              </w:rPr>
              <w:t xml:space="preserve"> (Bastos, 1994). Assim, os cooperados permanecem na cooperativa uma vez que este vínculo o faz ser proprietário dos bens materiais e patrimoniais (seu desligamento não dá direito à posse de nenhum bem).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C2E" w:rsidRPr="003477BD" w:rsidRDefault="00584C2E" w:rsidP="00FF773B">
            <w:pPr>
              <w:pStyle w:val="PargrafodaLista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3477BD">
              <w:rPr>
                <w:rFonts w:ascii="Times New Roman" w:hAnsi="Times New Roman"/>
                <w:sz w:val="20"/>
                <w:szCs w:val="24"/>
              </w:rPr>
              <w:t>- Permanência na cooperativa graças à percepção das trocas laterais (bens materiais e patrimoniais);</w:t>
            </w:r>
          </w:p>
        </w:tc>
      </w:tr>
      <w:tr w:rsidR="00584C2E" w:rsidRPr="003477BD" w:rsidTr="00FF773B"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C2E" w:rsidRPr="003477BD" w:rsidRDefault="00584C2E" w:rsidP="00FF773B">
            <w:pPr>
              <w:pStyle w:val="PargrafodaLista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C2E" w:rsidRPr="003477BD" w:rsidRDefault="00584C2E" w:rsidP="00FF773B">
            <w:pPr>
              <w:pStyle w:val="PargrafodaLista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3477BD">
              <w:rPr>
                <w:rFonts w:ascii="Times New Roman" w:hAnsi="Times New Roman"/>
                <w:sz w:val="20"/>
                <w:szCs w:val="24"/>
              </w:rPr>
              <w:t xml:space="preserve">Os cooperados se engajam, quanto aos bens materiais e patrimoniais, devido a </w:t>
            </w:r>
            <w:r w:rsidRPr="003477BD">
              <w:rPr>
                <w:rFonts w:ascii="Times New Roman" w:hAnsi="Times New Roman"/>
                <w:b/>
                <w:sz w:val="20"/>
                <w:szCs w:val="24"/>
              </w:rPr>
              <w:t>questões sociais</w:t>
            </w:r>
            <w:r w:rsidRPr="003477BD">
              <w:rPr>
                <w:rFonts w:ascii="Times New Roman" w:hAnsi="Times New Roman"/>
                <w:sz w:val="20"/>
                <w:szCs w:val="24"/>
              </w:rPr>
              <w:t xml:space="preserve"> (Becker, 1960). Há um entendimento sobre cooperativismo, inclusão social e gestão.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C2E" w:rsidRPr="003477BD" w:rsidRDefault="00584C2E" w:rsidP="00FF773B">
            <w:pPr>
              <w:pStyle w:val="PargrafodaLista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3477BD">
              <w:rPr>
                <w:rFonts w:ascii="Times New Roman" w:hAnsi="Times New Roman"/>
                <w:sz w:val="20"/>
                <w:szCs w:val="24"/>
              </w:rPr>
              <w:t>- Engajamento social na gestão dos bens materiais e patrimoniais;</w:t>
            </w:r>
          </w:p>
        </w:tc>
      </w:tr>
      <w:tr w:rsidR="00584C2E" w:rsidRPr="003477BD" w:rsidTr="00FF773B">
        <w:trPr>
          <w:trHeight w:val="568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C2E" w:rsidRPr="003477BD" w:rsidRDefault="00584C2E" w:rsidP="00FF773B">
            <w:pPr>
              <w:pStyle w:val="PargrafodaLista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C2E" w:rsidRPr="003477BD" w:rsidRDefault="00584C2E" w:rsidP="00FF773B">
            <w:pPr>
              <w:pStyle w:val="PargrafodaLista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3477BD">
              <w:rPr>
                <w:rFonts w:ascii="Times New Roman" w:hAnsi="Times New Roman"/>
                <w:sz w:val="20"/>
                <w:szCs w:val="24"/>
              </w:rPr>
              <w:t xml:space="preserve">Comprometimento como um </w:t>
            </w:r>
            <w:r w:rsidRPr="003477BD">
              <w:rPr>
                <w:rFonts w:ascii="Times New Roman" w:hAnsi="Times New Roman"/>
                <w:b/>
                <w:sz w:val="20"/>
                <w:szCs w:val="24"/>
              </w:rPr>
              <w:t>fenômeno estrutural decorrente das ações de indivíduo-organização</w:t>
            </w:r>
            <w:r w:rsidRPr="003477BD">
              <w:rPr>
                <w:rFonts w:ascii="Times New Roman" w:hAnsi="Times New Roman"/>
                <w:sz w:val="20"/>
                <w:szCs w:val="24"/>
              </w:rPr>
              <w:t xml:space="preserve"> (</w:t>
            </w:r>
            <w:proofErr w:type="spellStart"/>
            <w:r w:rsidRPr="003477BD">
              <w:rPr>
                <w:rFonts w:ascii="Times New Roman" w:hAnsi="Times New Roman"/>
                <w:sz w:val="20"/>
                <w:szCs w:val="24"/>
              </w:rPr>
              <w:t>Hrebiniak</w:t>
            </w:r>
            <w:proofErr w:type="spellEnd"/>
            <w:r w:rsidRPr="003477BD">
              <w:rPr>
                <w:rFonts w:ascii="Times New Roman" w:hAnsi="Times New Roman"/>
                <w:sz w:val="20"/>
                <w:szCs w:val="24"/>
              </w:rPr>
              <w:t xml:space="preserve"> &amp; </w:t>
            </w:r>
            <w:proofErr w:type="spellStart"/>
            <w:r w:rsidRPr="003477BD">
              <w:rPr>
                <w:rFonts w:ascii="Times New Roman" w:hAnsi="Times New Roman"/>
                <w:sz w:val="20"/>
                <w:szCs w:val="24"/>
              </w:rPr>
              <w:t>Alutto</w:t>
            </w:r>
            <w:proofErr w:type="spellEnd"/>
            <w:r w:rsidRPr="003477BD">
              <w:rPr>
                <w:rFonts w:ascii="Times New Roman" w:hAnsi="Times New Roman"/>
                <w:sz w:val="20"/>
                <w:szCs w:val="24"/>
              </w:rPr>
              <w:t>, 1972). As ações individuais têm reflexos na cooperativa como um todo.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C2E" w:rsidRPr="003477BD" w:rsidRDefault="00584C2E" w:rsidP="00FF773B">
            <w:pPr>
              <w:pStyle w:val="PargrafodaLista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3477BD">
              <w:rPr>
                <w:rFonts w:ascii="Times New Roman" w:hAnsi="Times New Roman"/>
                <w:sz w:val="20"/>
                <w:szCs w:val="24"/>
              </w:rPr>
              <w:t>- Comportamento individual para a gestão dos bens materiais e patrimoniais.</w:t>
            </w:r>
          </w:p>
        </w:tc>
      </w:tr>
    </w:tbl>
    <w:p w:rsidR="00584C2E" w:rsidRDefault="00584C2E">
      <w:bookmarkStart w:id="0" w:name="_GoBack"/>
      <w:bookmarkEnd w:id="0"/>
    </w:p>
    <w:sectPr w:rsidR="00584C2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C2E"/>
    <w:rsid w:val="00023D1E"/>
    <w:rsid w:val="00584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E91354-D335-45D4-9AC8-154FDEF58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584C2E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Edwige Betencourt</dc:creator>
  <cp:keywords/>
  <dc:description/>
  <cp:lastModifiedBy>Patricia Edwige Betencourt</cp:lastModifiedBy>
  <cp:revision>1</cp:revision>
  <dcterms:created xsi:type="dcterms:W3CDTF">2015-06-16T17:18:00Z</dcterms:created>
  <dcterms:modified xsi:type="dcterms:W3CDTF">2015-06-16T17:18:00Z</dcterms:modified>
</cp:coreProperties>
</file>