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4249"/>
        <w:gridCol w:w="1410"/>
        <w:gridCol w:w="1550"/>
        <w:gridCol w:w="1483"/>
      </w:tblGrid>
      <w:tr w:rsidR="00D92E01" w:rsidRPr="00C46631" w:rsidTr="00F549CB">
        <w:trPr>
          <w:trHeight w:val="446"/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  <w:lang w:val="pt-BR"/>
              </w:rPr>
            </w:pPr>
            <w:r w:rsidRPr="00C46631">
              <w:rPr>
                <w:rFonts w:eastAsia="Calibri"/>
                <w:b/>
                <w:bCs/>
                <w:sz w:val="20"/>
                <w:szCs w:val="20"/>
                <w:lang w:val="pt-BR"/>
              </w:rPr>
              <w:t>Fatores contingenciais (barreiras e facilitadores)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  <w:lang w:val="pt-BR"/>
              </w:rPr>
            </w:pPr>
            <w:r w:rsidRPr="00C46631">
              <w:rPr>
                <w:rFonts w:eastAsia="Calibri"/>
                <w:b/>
                <w:bCs/>
                <w:sz w:val="20"/>
                <w:szCs w:val="20"/>
                <w:lang w:val="pt-BR"/>
              </w:rPr>
              <w:t>Dirigente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  <w:lang w:val="pt-BR"/>
              </w:rPr>
            </w:pPr>
            <w:r w:rsidRPr="00C46631">
              <w:rPr>
                <w:rFonts w:eastAsia="Calibri"/>
                <w:b/>
                <w:bCs/>
                <w:sz w:val="20"/>
                <w:szCs w:val="20"/>
                <w:lang w:val="pt-BR"/>
              </w:rPr>
              <w:t>Organização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  <w:lang w:val="pt-BR"/>
              </w:rPr>
            </w:pPr>
            <w:r w:rsidRPr="00C46631">
              <w:rPr>
                <w:rFonts w:eastAsia="Calibri"/>
                <w:b/>
                <w:bCs/>
                <w:sz w:val="20"/>
                <w:szCs w:val="20"/>
                <w:lang w:val="pt-BR"/>
              </w:rPr>
              <w:t>Ambiente</w:t>
            </w:r>
          </w:p>
        </w:tc>
      </w:tr>
      <w:tr w:rsidR="00D92E01" w:rsidRPr="00C46631" w:rsidTr="00F549CB">
        <w:trPr>
          <w:trHeight w:val="446"/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both"/>
              <w:rPr>
                <w:rFonts w:eastAsia="Calibri"/>
                <w:bCs/>
                <w:sz w:val="20"/>
                <w:szCs w:val="20"/>
                <w:lang w:val="pt-BR"/>
              </w:rPr>
            </w:pPr>
            <w:r w:rsidRPr="00C46631">
              <w:rPr>
                <w:rFonts w:eastAsia="Calibri"/>
                <w:bCs/>
                <w:sz w:val="20"/>
                <w:szCs w:val="20"/>
                <w:lang w:val="pt-BR"/>
              </w:rPr>
              <w:t>Falta de conscientização dos benefícios da gestão ambiental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  <w:r w:rsidRPr="00C46631">
              <w:rPr>
                <w:rFonts w:eastAsia="Calibri"/>
                <w:bCs/>
                <w:sz w:val="20"/>
                <w:szCs w:val="20"/>
                <w:lang w:val="pt-BR"/>
              </w:rPr>
              <w:t>X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</w:p>
        </w:tc>
      </w:tr>
      <w:tr w:rsidR="00D92E01" w:rsidRPr="00C46631" w:rsidTr="00F549CB">
        <w:trPr>
          <w:trHeight w:val="446"/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both"/>
              <w:rPr>
                <w:rFonts w:eastAsia="Calibri"/>
                <w:bCs/>
                <w:sz w:val="20"/>
                <w:szCs w:val="20"/>
                <w:lang w:val="pt-BR"/>
              </w:rPr>
            </w:pPr>
            <w:r w:rsidRPr="00C46631">
              <w:rPr>
                <w:rFonts w:eastAsia="Calibri"/>
                <w:bCs/>
                <w:sz w:val="20"/>
                <w:szCs w:val="20"/>
                <w:lang w:val="pt-BR"/>
              </w:rPr>
              <w:t>Falta de conhecimento dos dirigentes no campo ambiental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  <w:r w:rsidRPr="00C46631">
              <w:rPr>
                <w:rFonts w:eastAsia="Calibri"/>
                <w:bCs/>
                <w:sz w:val="20"/>
                <w:szCs w:val="20"/>
                <w:lang w:val="pt-BR"/>
              </w:rPr>
              <w:t>X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</w:p>
        </w:tc>
      </w:tr>
      <w:tr w:rsidR="00D92E01" w:rsidRPr="00C46631" w:rsidTr="00F549CB">
        <w:trPr>
          <w:trHeight w:val="229"/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both"/>
              <w:rPr>
                <w:rFonts w:eastAsia="Calibri"/>
                <w:bCs/>
                <w:sz w:val="20"/>
                <w:szCs w:val="20"/>
                <w:lang w:val="pt-BR"/>
              </w:rPr>
            </w:pPr>
            <w:r w:rsidRPr="00C46631">
              <w:rPr>
                <w:rFonts w:eastAsia="Calibri"/>
                <w:bCs/>
                <w:sz w:val="20"/>
                <w:szCs w:val="20"/>
                <w:lang w:val="pt-BR"/>
              </w:rPr>
              <w:t>Inconsciência dos danos ambientais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  <w:r w:rsidRPr="00C46631">
              <w:rPr>
                <w:rFonts w:eastAsia="Calibri"/>
                <w:bCs/>
                <w:sz w:val="20"/>
                <w:szCs w:val="20"/>
                <w:lang w:val="pt-BR"/>
              </w:rPr>
              <w:t>X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</w:p>
        </w:tc>
      </w:tr>
      <w:tr w:rsidR="00D92E01" w:rsidRPr="00C46631" w:rsidTr="00F549CB">
        <w:trPr>
          <w:trHeight w:val="229"/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both"/>
              <w:rPr>
                <w:rFonts w:eastAsia="Calibri"/>
                <w:bCs/>
                <w:sz w:val="20"/>
                <w:szCs w:val="20"/>
                <w:lang w:val="pt-BR"/>
              </w:rPr>
            </w:pPr>
            <w:r w:rsidRPr="00C46631">
              <w:rPr>
                <w:rFonts w:eastAsia="Calibri"/>
                <w:bCs/>
                <w:sz w:val="20"/>
                <w:szCs w:val="20"/>
                <w:lang w:val="pt-BR"/>
              </w:rPr>
              <w:t>Carência de recursos financeiros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  <w:r w:rsidRPr="00C46631">
              <w:rPr>
                <w:rFonts w:eastAsia="Calibri"/>
                <w:bCs/>
                <w:sz w:val="20"/>
                <w:szCs w:val="20"/>
                <w:lang w:val="pt-BR"/>
              </w:rPr>
              <w:t>X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</w:p>
        </w:tc>
      </w:tr>
      <w:tr w:rsidR="00D92E01" w:rsidRPr="00C46631" w:rsidTr="00F549CB">
        <w:trPr>
          <w:trHeight w:val="229"/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both"/>
              <w:rPr>
                <w:rFonts w:eastAsia="Calibri"/>
                <w:bCs/>
                <w:sz w:val="20"/>
                <w:szCs w:val="20"/>
                <w:lang w:val="pt-BR"/>
              </w:rPr>
            </w:pPr>
            <w:r w:rsidRPr="00C46631">
              <w:rPr>
                <w:rFonts w:eastAsia="Calibri"/>
                <w:bCs/>
                <w:sz w:val="20"/>
                <w:szCs w:val="20"/>
                <w:lang w:val="pt-BR"/>
              </w:rPr>
              <w:t xml:space="preserve">Carência de recursos humanos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  <w:r w:rsidRPr="00C46631">
              <w:rPr>
                <w:rFonts w:eastAsia="Calibri"/>
                <w:bCs/>
                <w:sz w:val="20"/>
                <w:szCs w:val="20"/>
                <w:lang w:val="pt-BR"/>
              </w:rPr>
              <w:t>X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</w:p>
        </w:tc>
      </w:tr>
      <w:tr w:rsidR="00D92E01" w:rsidRPr="00C46631" w:rsidTr="00F549CB">
        <w:trPr>
          <w:trHeight w:val="217"/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both"/>
              <w:rPr>
                <w:rFonts w:eastAsia="Calibri"/>
                <w:bCs/>
                <w:sz w:val="20"/>
                <w:szCs w:val="20"/>
                <w:lang w:val="pt-BR"/>
              </w:rPr>
            </w:pPr>
            <w:r w:rsidRPr="00C46631">
              <w:rPr>
                <w:rFonts w:eastAsia="Calibri"/>
                <w:bCs/>
                <w:sz w:val="20"/>
                <w:szCs w:val="20"/>
                <w:lang w:val="pt-BR"/>
              </w:rPr>
              <w:t>Falta de tempo do dirigente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  <w:r w:rsidRPr="00C46631">
              <w:rPr>
                <w:rFonts w:eastAsia="Calibri"/>
                <w:bCs/>
                <w:sz w:val="20"/>
                <w:szCs w:val="20"/>
                <w:lang w:val="pt-BR"/>
              </w:rPr>
              <w:t>X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</w:p>
        </w:tc>
      </w:tr>
      <w:tr w:rsidR="00D92E01" w:rsidRPr="00C46631" w:rsidTr="00F549CB">
        <w:trPr>
          <w:trHeight w:val="229"/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both"/>
              <w:rPr>
                <w:rFonts w:eastAsia="Calibri"/>
                <w:bCs/>
                <w:sz w:val="20"/>
                <w:szCs w:val="20"/>
                <w:lang w:val="pt-BR"/>
              </w:rPr>
            </w:pPr>
            <w:r w:rsidRPr="00C46631">
              <w:rPr>
                <w:rFonts w:eastAsia="Calibri"/>
                <w:bCs/>
                <w:sz w:val="20"/>
                <w:szCs w:val="20"/>
                <w:lang w:val="pt-BR"/>
              </w:rPr>
              <w:t>Baixa pressão de clientes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  <w:r w:rsidRPr="00C46631">
              <w:rPr>
                <w:rFonts w:eastAsia="Calibri"/>
                <w:bCs/>
                <w:sz w:val="20"/>
                <w:szCs w:val="20"/>
                <w:lang w:val="pt-BR"/>
              </w:rPr>
              <w:t>X</w:t>
            </w:r>
          </w:p>
        </w:tc>
      </w:tr>
      <w:tr w:rsidR="00D92E01" w:rsidRPr="00C46631" w:rsidTr="00F549CB">
        <w:trPr>
          <w:trHeight w:val="229"/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both"/>
              <w:rPr>
                <w:rFonts w:eastAsia="Calibri"/>
                <w:bCs/>
                <w:sz w:val="20"/>
                <w:szCs w:val="20"/>
                <w:lang w:val="pt-BR"/>
              </w:rPr>
            </w:pPr>
            <w:r w:rsidRPr="00C46631">
              <w:rPr>
                <w:rFonts w:eastAsia="Calibri"/>
                <w:bCs/>
                <w:sz w:val="20"/>
                <w:szCs w:val="20"/>
                <w:lang w:val="pt-BR"/>
              </w:rPr>
              <w:t>Falta de informações aos dirigentes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  <w:r w:rsidRPr="00C46631">
              <w:rPr>
                <w:rFonts w:eastAsia="Calibri"/>
                <w:bCs/>
                <w:sz w:val="20"/>
                <w:szCs w:val="20"/>
                <w:lang w:val="pt-BR"/>
              </w:rPr>
              <w:t>X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</w:p>
        </w:tc>
      </w:tr>
      <w:tr w:rsidR="00D92E01" w:rsidRPr="00C46631" w:rsidTr="00F549CB">
        <w:trPr>
          <w:trHeight w:val="229"/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both"/>
              <w:rPr>
                <w:rFonts w:eastAsia="Calibri"/>
                <w:bCs/>
                <w:sz w:val="20"/>
                <w:szCs w:val="20"/>
                <w:lang w:val="pt-BR"/>
              </w:rPr>
            </w:pPr>
            <w:r w:rsidRPr="00C46631">
              <w:rPr>
                <w:rFonts w:eastAsia="Calibri"/>
                <w:bCs/>
                <w:sz w:val="20"/>
                <w:szCs w:val="20"/>
                <w:lang w:val="pt-BR"/>
              </w:rPr>
              <w:t>Proatividade estratégica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  <w:r w:rsidRPr="00C46631">
              <w:rPr>
                <w:rFonts w:eastAsia="Calibri"/>
                <w:bCs/>
                <w:sz w:val="20"/>
                <w:szCs w:val="20"/>
                <w:lang w:val="pt-BR"/>
              </w:rPr>
              <w:t>X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  <w:r w:rsidRPr="00C46631">
              <w:rPr>
                <w:rFonts w:eastAsia="Calibri"/>
                <w:bCs/>
                <w:sz w:val="20"/>
                <w:szCs w:val="20"/>
                <w:lang w:val="pt-BR"/>
              </w:rPr>
              <w:t>X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</w:p>
        </w:tc>
      </w:tr>
      <w:tr w:rsidR="00D92E01" w:rsidRPr="00C46631" w:rsidTr="00F549CB">
        <w:trPr>
          <w:trHeight w:val="217"/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both"/>
              <w:rPr>
                <w:rFonts w:eastAsia="Calibri"/>
                <w:bCs/>
                <w:i/>
                <w:sz w:val="20"/>
                <w:szCs w:val="20"/>
                <w:lang w:val="pt-BR"/>
              </w:rPr>
            </w:pPr>
            <w:r w:rsidRPr="00C46631">
              <w:rPr>
                <w:rFonts w:eastAsia="Calibri"/>
                <w:bCs/>
                <w:sz w:val="20"/>
                <w:szCs w:val="20"/>
                <w:lang w:val="pt-BR"/>
              </w:rPr>
              <w:t>Gestão d</w:t>
            </w:r>
            <w:r>
              <w:rPr>
                <w:rFonts w:eastAsia="Calibri"/>
                <w:bCs/>
                <w:sz w:val="20"/>
                <w:szCs w:val="20"/>
                <w:lang w:val="pt-BR"/>
              </w:rPr>
              <w:t>os</w:t>
            </w:r>
            <w:r w:rsidRPr="00C46631">
              <w:rPr>
                <w:rFonts w:eastAsia="Calibri"/>
                <w:bCs/>
                <w:sz w:val="20"/>
                <w:szCs w:val="20"/>
                <w:lang w:val="pt-BR"/>
              </w:rPr>
              <w:t xml:space="preserve"> </w:t>
            </w:r>
            <w:r w:rsidRPr="00C46631">
              <w:rPr>
                <w:rFonts w:eastAsia="Calibri"/>
                <w:bCs/>
                <w:i/>
                <w:sz w:val="20"/>
                <w:szCs w:val="20"/>
                <w:lang w:val="pt-BR"/>
              </w:rPr>
              <w:t>stakeholders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  <w:r>
              <w:rPr>
                <w:rFonts w:eastAsia="Calibri"/>
                <w:bCs/>
                <w:sz w:val="20"/>
                <w:szCs w:val="20"/>
                <w:lang w:val="pt-BR"/>
              </w:rPr>
              <w:t>X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  <w:r w:rsidRPr="00C46631">
              <w:rPr>
                <w:rFonts w:eastAsia="Calibri"/>
                <w:bCs/>
                <w:sz w:val="20"/>
                <w:szCs w:val="20"/>
                <w:lang w:val="pt-BR"/>
              </w:rPr>
              <w:t>X</w:t>
            </w:r>
          </w:p>
        </w:tc>
      </w:tr>
      <w:tr w:rsidR="00D92E01" w:rsidRPr="00C46631" w:rsidTr="00F549CB">
        <w:trPr>
          <w:trHeight w:val="229"/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both"/>
              <w:rPr>
                <w:rFonts w:eastAsia="Calibri"/>
                <w:bCs/>
                <w:sz w:val="20"/>
                <w:szCs w:val="20"/>
                <w:lang w:val="pt-BR"/>
              </w:rPr>
            </w:pPr>
            <w:r w:rsidRPr="00C46631">
              <w:rPr>
                <w:rFonts w:eastAsia="Calibri"/>
                <w:bCs/>
                <w:sz w:val="20"/>
                <w:szCs w:val="20"/>
                <w:lang w:val="pt-BR"/>
              </w:rPr>
              <w:t>Visão compartilhada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  <w:r w:rsidRPr="00C46631">
              <w:rPr>
                <w:rFonts w:eastAsia="Calibri"/>
                <w:bCs/>
                <w:sz w:val="20"/>
                <w:szCs w:val="20"/>
                <w:lang w:val="pt-BR"/>
              </w:rPr>
              <w:t>X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  <w:r w:rsidRPr="00C46631">
              <w:rPr>
                <w:rFonts w:eastAsia="Calibri"/>
                <w:bCs/>
                <w:sz w:val="20"/>
                <w:szCs w:val="20"/>
                <w:lang w:val="pt-BR"/>
              </w:rPr>
              <w:t>X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</w:p>
        </w:tc>
      </w:tr>
      <w:tr w:rsidR="00D92E01" w:rsidRPr="00C46631" w:rsidTr="00F549CB">
        <w:trPr>
          <w:trHeight w:val="229"/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both"/>
              <w:rPr>
                <w:rFonts w:eastAsia="Calibri"/>
                <w:bCs/>
                <w:sz w:val="20"/>
                <w:szCs w:val="20"/>
                <w:lang w:val="pt-BR"/>
              </w:rPr>
            </w:pPr>
            <w:r w:rsidRPr="00C46631">
              <w:rPr>
                <w:rFonts w:eastAsia="Calibri"/>
                <w:bCs/>
                <w:sz w:val="20"/>
                <w:szCs w:val="20"/>
                <w:lang w:val="pt-BR"/>
              </w:rPr>
              <w:t>Flexibilidade de produção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  <w:r w:rsidRPr="00C46631">
              <w:rPr>
                <w:rFonts w:eastAsia="Calibri"/>
                <w:bCs/>
                <w:sz w:val="20"/>
                <w:szCs w:val="20"/>
                <w:lang w:val="pt-BR"/>
              </w:rPr>
              <w:t>X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01" w:rsidRPr="00C46631" w:rsidRDefault="00D92E01" w:rsidP="00F549CB">
            <w:pPr>
              <w:snapToGrid w:val="0"/>
              <w:jc w:val="center"/>
              <w:rPr>
                <w:rFonts w:eastAsia="Calibri"/>
                <w:bCs/>
                <w:sz w:val="20"/>
                <w:szCs w:val="20"/>
                <w:lang w:val="pt-BR"/>
              </w:rPr>
            </w:pPr>
          </w:p>
        </w:tc>
      </w:tr>
    </w:tbl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DBE" w:rsidRDefault="00E12DBE" w:rsidP="0048418E">
      <w:r>
        <w:separator/>
      </w:r>
    </w:p>
  </w:endnote>
  <w:endnote w:type="continuationSeparator" w:id="0">
    <w:p w:rsidR="00E12DBE" w:rsidRDefault="00E12DBE" w:rsidP="0048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18E" w:rsidRDefault="0048418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18E" w:rsidRDefault="0048418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18E" w:rsidRDefault="004841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DBE" w:rsidRDefault="00E12DBE" w:rsidP="0048418E">
      <w:r>
        <w:separator/>
      </w:r>
    </w:p>
  </w:footnote>
  <w:footnote w:type="continuationSeparator" w:id="0">
    <w:p w:rsidR="00E12DBE" w:rsidRDefault="00E12DBE" w:rsidP="00484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18E" w:rsidRDefault="004841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18E" w:rsidRDefault="0048418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18E" w:rsidRDefault="004841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01"/>
    <w:rsid w:val="00023D1E"/>
    <w:rsid w:val="0048418E"/>
    <w:rsid w:val="00D92E01"/>
    <w:rsid w:val="00E1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E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41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418E"/>
    <w:rPr>
      <w:rFonts w:ascii="Times New Roman" w:eastAsia="Times New Roman" w:hAnsi="Times New Roman" w:cs="Times New Roman"/>
      <w:sz w:val="24"/>
      <w:szCs w:val="24"/>
      <w:lang w:val="pt-PT" w:eastAsia="ar-SA"/>
    </w:rPr>
  </w:style>
  <w:style w:type="paragraph" w:styleId="Rodap">
    <w:name w:val="footer"/>
    <w:basedOn w:val="Normal"/>
    <w:link w:val="RodapChar"/>
    <w:uiPriority w:val="99"/>
    <w:unhideWhenUsed/>
    <w:rsid w:val="004841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418E"/>
    <w:rPr>
      <w:rFonts w:ascii="Times New Roman" w:eastAsia="Times New Roman" w:hAnsi="Times New Roman" w:cs="Times New Roman"/>
      <w:sz w:val="24"/>
      <w:szCs w:val="24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2016-01-20T18:20:00Z</dcterms:created>
  <dcterms:modified xsi:type="dcterms:W3CDTF">2016-01-20T18:20:00Z</dcterms:modified>
</cp:coreProperties>
</file>