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F" w:rsidRDefault="0045199F" w:rsidP="0045199F">
      <w:pPr>
        <w:spacing w:line="360" w:lineRule="auto"/>
      </w:pPr>
      <w:r w:rsidRPr="00E80EEC">
        <w:t xml:space="preserve">Quadro </w:t>
      </w:r>
      <w:proofErr w:type="gramStart"/>
      <w:r w:rsidRPr="00E80EEC">
        <w:t>1</w:t>
      </w:r>
      <w:proofErr w:type="gramEnd"/>
      <w:r w:rsidRPr="00E80EEC">
        <w:t>: Impedimentos Econômicos e Institucionais para Eficiência de Mercado</w:t>
      </w: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EB"/>
        <w:tblLook w:val="01E0"/>
      </w:tblPr>
      <w:tblGrid>
        <w:gridCol w:w="2416"/>
        <w:gridCol w:w="2520"/>
        <w:gridCol w:w="3240"/>
      </w:tblGrid>
      <w:tr w:rsidR="0045199F" w:rsidRPr="00E80EEC" w:rsidTr="00533AD1">
        <w:trPr>
          <w:trHeight w:hRule="exact" w:val="624"/>
        </w:trPr>
        <w:tc>
          <w:tcPr>
            <w:tcW w:w="2416" w:type="dxa"/>
            <w:tcBorders>
              <w:bottom w:val="double" w:sz="4" w:space="0" w:color="auto"/>
            </w:tcBorders>
            <w:shd w:val="clear" w:color="auto" w:fill="FFFFD5"/>
            <w:vAlign w:val="center"/>
          </w:tcPr>
          <w:p w:rsidR="0045199F" w:rsidRDefault="0045199F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Dimensões chave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FFFD5"/>
            <w:vAlign w:val="center"/>
          </w:tcPr>
          <w:p w:rsidR="0045199F" w:rsidRDefault="0045199F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Impedimentos Econômicos para Eficiência de Mercado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FFFFD5"/>
            <w:vAlign w:val="center"/>
          </w:tcPr>
          <w:p w:rsidR="0045199F" w:rsidRDefault="0045199F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Impedimentos institucionais para eficiência de mercado</w:t>
            </w:r>
          </w:p>
        </w:tc>
      </w:tr>
      <w:tr w:rsidR="0045199F" w:rsidRPr="00E80EEC" w:rsidTr="00533AD1">
        <w:trPr>
          <w:trHeight w:hRule="exact" w:val="688"/>
        </w:trPr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Fontes de heterogeneidade da fi</w:t>
            </w:r>
            <w:r w:rsidRPr="00681012">
              <w:rPr>
                <w:sz w:val="20"/>
                <w:szCs w:val="20"/>
              </w:rPr>
              <w:t>rma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Atividade econômica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Contexto social e normativo da atividade econômica</w:t>
            </w:r>
          </w:p>
        </w:tc>
      </w:tr>
      <w:tr w:rsidR="0045199F" w:rsidRPr="00E80EEC" w:rsidTr="00533AD1">
        <w:trPr>
          <w:trHeight w:hRule="exact" w:val="510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proofErr w:type="gramStart"/>
            <w:r w:rsidRPr="00681012">
              <w:rPr>
                <w:sz w:val="20"/>
                <w:szCs w:val="20"/>
              </w:rPr>
              <w:t>Constituintes chave</w:t>
            </w:r>
            <w:proofErr w:type="gramEnd"/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Compradores e vendedores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Governo, sociedade e redes</w:t>
            </w:r>
          </w:p>
        </w:tc>
      </w:tr>
      <w:tr w:rsidR="0045199F" w:rsidRPr="00E80EEC" w:rsidTr="00533AD1">
        <w:trPr>
          <w:trHeight w:hRule="exact" w:val="622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Causa do impedimento</w:t>
            </w:r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Competição incompleta e imperfeita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Regras e no</w:t>
            </w:r>
            <w:r>
              <w:rPr>
                <w:sz w:val="20"/>
                <w:szCs w:val="20"/>
              </w:rPr>
              <w:t xml:space="preserve">rmas de comportamento econômico </w:t>
            </w:r>
            <w:r w:rsidRPr="00681012">
              <w:rPr>
                <w:sz w:val="20"/>
                <w:szCs w:val="20"/>
              </w:rPr>
              <w:t>aceitável</w:t>
            </w:r>
          </w:p>
        </w:tc>
      </w:tr>
      <w:tr w:rsidR="0045199F" w:rsidRPr="00E80EEC" w:rsidTr="00533AD1">
        <w:trPr>
          <w:trHeight w:hRule="exact" w:val="510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Lógica dominante</w:t>
            </w:r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Eficiência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Legitimidade</w:t>
            </w:r>
          </w:p>
        </w:tc>
      </w:tr>
      <w:tr w:rsidR="0045199F" w:rsidRPr="00E80EEC" w:rsidTr="00533AD1">
        <w:trPr>
          <w:trHeight w:hRule="exact" w:val="624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Natureza da informação de mercado</w:t>
            </w:r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Imperfeita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Socialmente construída</w:t>
            </w:r>
          </w:p>
        </w:tc>
      </w:tr>
      <w:tr w:rsidR="0045199F" w:rsidRPr="00E80EEC" w:rsidTr="00533AD1">
        <w:trPr>
          <w:trHeight w:hRule="exact" w:val="665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Natureza da escolha estratégica</w:t>
            </w:r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 xml:space="preserve">Intencional, calculista e </w:t>
            </w:r>
            <w:proofErr w:type="spellStart"/>
            <w:r w:rsidRPr="00681012">
              <w:rPr>
                <w:sz w:val="20"/>
                <w:szCs w:val="20"/>
              </w:rPr>
              <w:t>maximizante</w:t>
            </w:r>
            <w:proofErr w:type="spellEnd"/>
            <w:r w:rsidRPr="00681012">
              <w:rPr>
                <w:sz w:val="20"/>
                <w:szCs w:val="20"/>
              </w:rPr>
              <w:t xml:space="preserve"> da utilidade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proofErr w:type="spellStart"/>
            <w:r w:rsidRPr="00681012">
              <w:rPr>
                <w:sz w:val="20"/>
                <w:szCs w:val="20"/>
              </w:rPr>
              <w:t>Pré-consciente</w:t>
            </w:r>
            <w:proofErr w:type="spellEnd"/>
            <w:r w:rsidRPr="00681012">
              <w:rPr>
                <w:sz w:val="20"/>
                <w:szCs w:val="20"/>
              </w:rPr>
              <w:t>, não reflexiva e habitual</w:t>
            </w:r>
          </w:p>
        </w:tc>
      </w:tr>
      <w:tr w:rsidR="0045199F" w:rsidRPr="00E80EEC" w:rsidTr="00533AD1">
        <w:trPr>
          <w:trHeight w:hRule="exact" w:val="733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Atributos relevantes de mercado</w:t>
            </w:r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Competitividade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Conectividade</w:t>
            </w:r>
          </w:p>
        </w:tc>
      </w:tr>
      <w:tr w:rsidR="0045199F" w:rsidRPr="00E80EEC" w:rsidTr="00533AD1">
        <w:trPr>
          <w:trHeight w:hRule="exact" w:val="867"/>
        </w:trPr>
        <w:tc>
          <w:tcPr>
            <w:tcW w:w="241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Determinante da eficiência de mercado</w:t>
            </w:r>
          </w:p>
        </w:tc>
        <w:tc>
          <w:tcPr>
            <w:tcW w:w="25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Utilidade da troca</w:t>
            </w:r>
          </w:p>
        </w:tc>
        <w:tc>
          <w:tcPr>
            <w:tcW w:w="32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EB"/>
            <w:vAlign w:val="center"/>
          </w:tcPr>
          <w:p w:rsidR="0045199F" w:rsidRPr="00681012" w:rsidRDefault="0045199F" w:rsidP="00533AD1">
            <w:pPr>
              <w:rPr>
                <w:sz w:val="20"/>
                <w:szCs w:val="20"/>
              </w:rPr>
            </w:pPr>
            <w:r w:rsidRPr="00681012">
              <w:rPr>
                <w:sz w:val="20"/>
                <w:szCs w:val="20"/>
              </w:rPr>
              <w:t>Imersão da troca</w:t>
            </w:r>
          </w:p>
        </w:tc>
      </w:tr>
    </w:tbl>
    <w:p w:rsidR="0045199F" w:rsidRPr="00E80EEC" w:rsidRDefault="0045199F" w:rsidP="0045199F">
      <w:pPr>
        <w:spacing w:line="360" w:lineRule="auto"/>
      </w:pPr>
      <w:r>
        <w:t xml:space="preserve">     Fonte: </w:t>
      </w:r>
      <w:r w:rsidRPr="00E80EEC">
        <w:t>Oliver, 1996, p. 169</w:t>
      </w:r>
    </w:p>
    <w:p w:rsidR="0045199F" w:rsidRDefault="0045199F" w:rsidP="0045199F">
      <w:pPr>
        <w:jc w:val="both"/>
      </w:pPr>
    </w:p>
    <w:p w:rsidR="00990567" w:rsidRDefault="00990567"/>
    <w:sectPr w:rsidR="00990567" w:rsidSect="00990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199F"/>
    <w:rsid w:val="0045199F"/>
    <w:rsid w:val="0099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Dias</dc:creator>
  <cp:lastModifiedBy>Fernando Dias</cp:lastModifiedBy>
  <cp:revision>1</cp:revision>
  <dcterms:created xsi:type="dcterms:W3CDTF">2011-06-12T23:44:00Z</dcterms:created>
  <dcterms:modified xsi:type="dcterms:W3CDTF">2011-06-12T23:44:00Z</dcterms:modified>
</cp:coreProperties>
</file>